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9707" w14:textId="30C212D5" w:rsidR="00F12C76" w:rsidRPr="00B85E4D" w:rsidRDefault="009B5A0A" w:rsidP="009B5A0A">
      <w:pPr>
        <w:spacing w:after="0"/>
        <w:jc w:val="right"/>
        <w:rPr>
          <w:rFonts w:cs="Times New Roman"/>
          <w:i/>
          <w:iCs/>
          <w:sz w:val="24"/>
          <w:szCs w:val="24"/>
          <w:lang w:val="en-GB"/>
        </w:rPr>
      </w:pPr>
      <w:r w:rsidRPr="00B85E4D">
        <w:rPr>
          <w:rFonts w:cs="Times New Roman"/>
          <w:i/>
          <w:iCs/>
          <w:sz w:val="24"/>
          <w:szCs w:val="24"/>
          <w:lang w:val="en-GB"/>
        </w:rPr>
        <w:t xml:space="preserve">Translation from Romanian into English </w:t>
      </w:r>
    </w:p>
    <w:p w14:paraId="1E074018" w14:textId="77777777" w:rsidR="009B5A0A" w:rsidRPr="00B85E4D" w:rsidRDefault="009B5A0A" w:rsidP="009B5A0A">
      <w:pPr>
        <w:spacing w:after="0"/>
        <w:jc w:val="both"/>
        <w:rPr>
          <w:rFonts w:cs="Times New Roman"/>
          <w:sz w:val="24"/>
          <w:szCs w:val="24"/>
          <w:lang w:val="en-GB"/>
        </w:rPr>
      </w:pPr>
    </w:p>
    <w:p w14:paraId="38014F75" w14:textId="77777777" w:rsidR="001C6DBF" w:rsidRPr="00B85E4D" w:rsidRDefault="001C6DBF" w:rsidP="001C6DBF">
      <w:pPr>
        <w:spacing w:after="0"/>
        <w:jc w:val="right"/>
        <w:rPr>
          <w:rFonts w:eastAsia="Times New Roman" w:cs="Times New Roman"/>
          <w:b/>
          <w:bCs/>
          <w:szCs w:val="28"/>
          <w:lang w:val="en-GB"/>
        </w:rPr>
      </w:pPr>
      <w:r w:rsidRPr="00B85E4D">
        <w:rPr>
          <w:rFonts w:eastAsia="Times New Roman" w:cs="Times New Roman"/>
          <w:b/>
          <w:bCs/>
          <w:szCs w:val="28"/>
          <w:lang w:val="en-GB"/>
        </w:rPr>
        <w:t>UE</w:t>
      </w:r>
    </w:p>
    <w:p w14:paraId="255211F9" w14:textId="4DEACC8E" w:rsidR="001C6DBF" w:rsidRPr="00B85E4D" w:rsidRDefault="00963ADA" w:rsidP="001C6DBF">
      <w:pPr>
        <w:spacing w:after="0"/>
        <w:jc w:val="center"/>
        <w:rPr>
          <w:rFonts w:eastAsia="Times New Roman" w:cs="Times New Roman"/>
          <w:b/>
          <w:bCs/>
          <w:sz w:val="24"/>
          <w:szCs w:val="24"/>
          <w:lang w:val="en-GB"/>
        </w:rPr>
      </w:pPr>
      <w:r>
        <w:rPr>
          <w:rFonts w:eastAsia="Times New Roman" w:cs="Times New Roman"/>
          <w:b/>
          <w:bCs/>
          <w:sz w:val="24"/>
          <w:szCs w:val="24"/>
          <w:lang w:val="en-GB"/>
        </w:rPr>
        <w:t xml:space="preserve"> </w:t>
      </w:r>
    </w:p>
    <w:p w14:paraId="58884876" w14:textId="77777777" w:rsidR="001C6DBF" w:rsidRPr="00B85E4D" w:rsidRDefault="001C6DBF" w:rsidP="001C6DBF">
      <w:pPr>
        <w:spacing w:after="0"/>
        <w:jc w:val="center"/>
        <w:rPr>
          <w:rFonts w:eastAsia="Times New Roman" w:cs="Times New Roman"/>
          <w:b/>
          <w:bCs/>
          <w:sz w:val="24"/>
          <w:szCs w:val="24"/>
          <w:lang w:val="en-GB"/>
        </w:rPr>
      </w:pPr>
    </w:p>
    <w:p w14:paraId="54924D32" w14:textId="77777777" w:rsidR="001C6DBF" w:rsidRPr="00B85E4D" w:rsidRDefault="001C6DBF" w:rsidP="001C6DBF">
      <w:pPr>
        <w:spacing w:after="0"/>
        <w:ind w:firstLine="567"/>
        <w:jc w:val="both"/>
        <w:rPr>
          <w:rFonts w:eastAsia="Times New Roman" w:cs="Times New Roman"/>
          <w:sz w:val="24"/>
          <w:szCs w:val="24"/>
          <w:lang w:val="en-GB"/>
        </w:rPr>
      </w:pPr>
      <w:r w:rsidRPr="00B85E4D">
        <w:rPr>
          <w:rFonts w:eastAsia="Times New Roman" w:cs="Times New Roman"/>
          <w:sz w:val="24"/>
          <w:szCs w:val="24"/>
          <w:lang w:val="en-GB"/>
        </w:rPr>
        <w:t> </w:t>
      </w:r>
    </w:p>
    <w:p w14:paraId="0BA84804" w14:textId="77777777" w:rsidR="001C6DBF" w:rsidRPr="00B85E4D" w:rsidRDefault="001C6DBF" w:rsidP="001C6DBF">
      <w:pPr>
        <w:spacing w:after="0"/>
        <w:jc w:val="center"/>
        <w:rPr>
          <w:rFonts w:eastAsia="Times New Roman" w:cs="Times New Roman"/>
          <w:b/>
          <w:bCs/>
          <w:sz w:val="24"/>
          <w:szCs w:val="24"/>
          <w:lang w:val="en-GB"/>
        </w:rPr>
      </w:pPr>
      <w:r w:rsidRPr="00B85E4D">
        <w:rPr>
          <w:rFonts w:eastAsia="Times New Roman" w:cs="Times New Roman"/>
          <w:b/>
          <w:bCs/>
          <w:sz w:val="24"/>
          <w:szCs w:val="24"/>
          <w:lang w:val="en-GB"/>
        </w:rPr>
        <w:t>D E C I S I O N</w:t>
      </w:r>
    </w:p>
    <w:p w14:paraId="51DF748E" w14:textId="77777777" w:rsidR="001C6DBF" w:rsidRPr="00B85E4D" w:rsidRDefault="001C6DBF" w:rsidP="001C6DBF">
      <w:pPr>
        <w:spacing w:after="0"/>
        <w:jc w:val="center"/>
        <w:rPr>
          <w:rFonts w:eastAsia="Times New Roman" w:cs="Times New Roman"/>
          <w:b/>
          <w:bCs/>
          <w:sz w:val="24"/>
          <w:szCs w:val="24"/>
          <w:lang w:val="en-GB"/>
        </w:rPr>
      </w:pPr>
      <w:r w:rsidRPr="00B85E4D">
        <w:rPr>
          <w:rFonts w:eastAsia="Times New Roman" w:cs="Times New Roman"/>
          <w:b/>
          <w:bCs/>
          <w:sz w:val="24"/>
          <w:szCs w:val="24"/>
          <w:lang w:val="en-GB"/>
        </w:rPr>
        <w:t xml:space="preserve">on the approval of the Regulation on the treatment </w:t>
      </w:r>
    </w:p>
    <w:p w14:paraId="78CAE568" w14:textId="77777777" w:rsidR="001C6DBF" w:rsidRPr="00B85E4D" w:rsidRDefault="001C6DBF" w:rsidP="001C6DBF">
      <w:pPr>
        <w:spacing w:after="0"/>
        <w:jc w:val="center"/>
        <w:rPr>
          <w:rFonts w:eastAsia="Times New Roman"/>
          <w:b/>
          <w:bCs/>
          <w:sz w:val="24"/>
          <w:szCs w:val="24"/>
          <w:lang w:val="en-GB"/>
        </w:rPr>
      </w:pPr>
      <w:r w:rsidRPr="00B85E4D">
        <w:rPr>
          <w:rFonts w:eastAsia="Times New Roman" w:cs="Times New Roman"/>
          <w:b/>
          <w:bCs/>
          <w:sz w:val="24"/>
          <w:szCs w:val="24"/>
          <w:lang w:val="en-GB"/>
        </w:rPr>
        <w:t xml:space="preserve">of counterparty credit risk for banks </w:t>
      </w:r>
      <w:r w:rsidRPr="00B85E4D">
        <w:rPr>
          <w:rFonts w:eastAsia="Times New Roman"/>
          <w:b/>
          <w:bCs/>
          <w:sz w:val="24"/>
          <w:szCs w:val="24"/>
          <w:lang w:val="en-GB"/>
        </w:rPr>
        <w:t>and the amendment of certain normative acts of the National Bank of Moldova</w:t>
      </w:r>
    </w:p>
    <w:p w14:paraId="7FEA1DC1" w14:textId="77777777" w:rsidR="001C6DBF" w:rsidRPr="00B85E4D" w:rsidRDefault="001C6DBF" w:rsidP="001C6DBF">
      <w:pPr>
        <w:spacing w:after="0"/>
        <w:jc w:val="center"/>
        <w:rPr>
          <w:rFonts w:eastAsia="Times New Roman" w:cs="Times New Roman"/>
          <w:b/>
          <w:bCs/>
          <w:sz w:val="24"/>
          <w:szCs w:val="24"/>
          <w:lang w:val="en-GB"/>
        </w:rPr>
      </w:pPr>
    </w:p>
    <w:p w14:paraId="1ACFB1B5" w14:textId="5315A1B9" w:rsidR="001C6DBF" w:rsidRPr="00B85E4D" w:rsidRDefault="001C6DBF" w:rsidP="001C6DBF">
      <w:pPr>
        <w:spacing w:after="0"/>
        <w:jc w:val="center"/>
        <w:rPr>
          <w:rFonts w:eastAsia="Times New Roman" w:cs="Times New Roman"/>
          <w:sz w:val="24"/>
          <w:szCs w:val="24"/>
          <w:lang w:val="en-GB"/>
        </w:rPr>
      </w:pPr>
      <w:r w:rsidRPr="00B85E4D">
        <w:rPr>
          <w:rFonts w:eastAsia="Times New Roman" w:cs="Times New Roman"/>
          <w:b/>
          <w:bCs/>
          <w:sz w:val="24"/>
          <w:szCs w:val="24"/>
          <w:lang w:val="en-GB"/>
        </w:rPr>
        <w:t>No. 220 as of 25.09.2025</w:t>
      </w:r>
      <w:r w:rsidRPr="00B85E4D">
        <w:rPr>
          <w:rFonts w:eastAsia="Times New Roman" w:cs="Times New Roman"/>
          <w:b/>
          <w:bCs/>
          <w:sz w:val="24"/>
          <w:szCs w:val="24"/>
          <w:lang w:val="en-GB"/>
        </w:rPr>
        <w:br/>
      </w:r>
      <w:r w:rsidRPr="00B85E4D">
        <w:rPr>
          <w:rFonts w:eastAsia="Times New Roman" w:cs="Times New Roman"/>
          <w:sz w:val="24"/>
          <w:szCs w:val="24"/>
          <w:lang w:val="en-GB"/>
        </w:rPr>
        <w:t>(in force as of 01.10.2026)</w:t>
      </w:r>
    </w:p>
    <w:p w14:paraId="446E35E0" w14:textId="77777777" w:rsidR="001C6DBF" w:rsidRPr="00B85E4D" w:rsidRDefault="001C6DBF" w:rsidP="001C6DBF">
      <w:pPr>
        <w:spacing w:after="0"/>
        <w:jc w:val="center"/>
        <w:rPr>
          <w:rFonts w:eastAsia="Times New Roman" w:cs="Times New Roman"/>
          <w:b/>
          <w:bCs/>
          <w:sz w:val="24"/>
          <w:szCs w:val="24"/>
          <w:lang w:val="en-GB"/>
        </w:rPr>
      </w:pPr>
    </w:p>
    <w:p w14:paraId="2CE12806" w14:textId="07DDB551" w:rsidR="001C6DBF" w:rsidRPr="00B85E4D" w:rsidRDefault="001C6DBF" w:rsidP="001C6DBF">
      <w:pPr>
        <w:spacing w:after="0"/>
        <w:jc w:val="center"/>
        <w:rPr>
          <w:rFonts w:eastAsia="Times New Roman" w:cs="Times New Roman"/>
          <w:b/>
          <w:bCs/>
          <w:sz w:val="24"/>
          <w:szCs w:val="24"/>
          <w:lang w:val="en-GB"/>
        </w:rPr>
      </w:pPr>
      <w:r w:rsidRPr="00B85E4D">
        <w:rPr>
          <w:rFonts w:eastAsia="Times New Roman" w:cs="Times New Roman"/>
          <w:b/>
          <w:bCs/>
          <w:sz w:val="24"/>
          <w:szCs w:val="24"/>
          <w:lang w:val="en-GB"/>
        </w:rPr>
        <w:t xml:space="preserve">Official </w:t>
      </w:r>
      <w:r w:rsidR="004A01C4" w:rsidRPr="00B85E4D">
        <w:rPr>
          <w:rFonts w:eastAsia="Times New Roman" w:cs="Times New Roman"/>
          <w:b/>
          <w:bCs/>
          <w:sz w:val="24"/>
          <w:szCs w:val="24"/>
          <w:lang w:val="en-GB"/>
        </w:rPr>
        <w:t>Journal</w:t>
      </w:r>
      <w:r w:rsidRPr="00B85E4D">
        <w:rPr>
          <w:rFonts w:eastAsia="Times New Roman" w:cs="Times New Roman"/>
          <w:b/>
          <w:bCs/>
          <w:sz w:val="24"/>
          <w:szCs w:val="24"/>
          <w:lang w:val="en-GB"/>
        </w:rPr>
        <w:t xml:space="preserve"> of the Republic of Moldova No. 515–518, Art. 895 of 02.10.2025</w:t>
      </w:r>
    </w:p>
    <w:p w14:paraId="048740C9" w14:textId="54C93BA8" w:rsidR="001C6DBF" w:rsidRPr="00B85E4D" w:rsidRDefault="001C6DBF" w:rsidP="001C6DBF">
      <w:pPr>
        <w:spacing w:after="0"/>
        <w:jc w:val="center"/>
        <w:rPr>
          <w:rFonts w:eastAsia="Times New Roman" w:cs="Times New Roman"/>
          <w:b/>
          <w:bCs/>
          <w:sz w:val="24"/>
          <w:szCs w:val="24"/>
          <w:lang w:val="en-GB"/>
        </w:rPr>
      </w:pPr>
      <w:r w:rsidRPr="00B85E4D">
        <w:rPr>
          <w:rFonts w:eastAsia="Times New Roman" w:cs="Times New Roman"/>
          <w:b/>
          <w:bCs/>
          <w:sz w:val="24"/>
          <w:szCs w:val="24"/>
          <w:lang w:val="en-GB"/>
        </w:rPr>
        <w:t> </w:t>
      </w:r>
    </w:p>
    <w:p w14:paraId="7BC24184" w14:textId="77777777" w:rsidR="001C6DBF" w:rsidRPr="00B85E4D" w:rsidRDefault="001C6DBF" w:rsidP="001C6DBF">
      <w:pPr>
        <w:spacing w:after="0"/>
        <w:jc w:val="center"/>
        <w:rPr>
          <w:rFonts w:eastAsia="Times New Roman" w:cs="Times New Roman"/>
          <w:sz w:val="24"/>
          <w:szCs w:val="24"/>
          <w:lang w:val="en-GB"/>
        </w:rPr>
      </w:pPr>
      <w:r w:rsidRPr="00B85E4D">
        <w:rPr>
          <w:rFonts w:eastAsia="Times New Roman" w:cs="Times New Roman"/>
          <w:sz w:val="24"/>
          <w:szCs w:val="24"/>
          <w:lang w:val="en-GB"/>
        </w:rPr>
        <w:t>* * *</w:t>
      </w:r>
    </w:p>
    <w:p w14:paraId="66586D3F" w14:textId="77777777" w:rsidR="001C6DBF" w:rsidRPr="00B85E4D" w:rsidRDefault="001C6DBF" w:rsidP="001C6DBF">
      <w:pPr>
        <w:spacing w:after="0"/>
        <w:jc w:val="center"/>
        <w:rPr>
          <w:rFonts w:eastAsia="Times New Roman" w:cs="Times New Roman"/>
          <w:sz w:val="24"/>
          <w:szCs w:val="24"/>
          <w:lang w:val="en-GB"/>
        </w:rPr>
      </w:pPr>
    </w:p>
    <w:p w14:paraId="2D18FC56" w14:textId="326BF0C9" w:rsidR="001C6DBF" w:rsidRPr="00B85E4D" w:rsidRDefault="001C6DBF" w:rsidP="001C6DBF">
      <w:pPr>
        <w:spacing w:after="0"/>
        <w:ind w:firstLine="567"/>
        <w:jc w:val="both"/>
        <w:rPr>
          <w:rFonts w:eastAsia="Times New Roman" w:cs="Times New Roman"/>
          <w:sz w:val="24"/>
          <w:szCs w:val="24"/>
          <w:lang w:val="en-GB"/>
        </w:rPr>
      </w:pPr>
      <w:r w:rsidRPr="00B85E4D">
        <w:rPr>
          <w:rFonts w:eastAsia="Times New Roman" w:cs="Times New Roman"/>
          <w:sz w:val="24"/>
          <w:szCs w:val="24"/>
          <w:lang w:val="en-GB"/>
        </w:rPr>
        <w:t xml:space="preserve">Pursuant to Article 27 paragraph (1) letter c), Article 44 letter a) of Law </w:t>
      </w:r>
      <w:r w:rsidR="00152219">
        <w:rPr>
          <w:rFonts w:eastAsia="Times New Roman" w:cs="Times New Roman"/>
          <w:sz w:val="24"/>
          <w:szCs w:val="24"/>
          <w:lang w:val="en-GB"/>
        </w:rPr>
        <w:t>N</w:t>
      </w:r>
      <w:r w:rsidRPr="00B85E4D">
        <w:rPr>
          <w:rFonts w:eastAsia="Times New Roman" w:cs="Times New Roman"/>
          <w:sz w:val="24"/>
          <w:szCs w:val="24"/>
          <w:lang w:val="en-GB"/>
        </w:rPr>
        <w:t>o.</w:t>
      </w:r>
      <w:r w:rsidR="00152219">
        <w:rPr>
          <w:rFonts w:eastAsia="Times New Roman" w:cs="Times New Roman"/>
          <w:sz w:val="24"/>
          <w:szCs w:val="24"/>
          <w:lang w:val="en-GB"/>
        </w:rPr>
        <w:t xml:space="preserve"> </w:t>
      </w:r>
      <w:r w:rsidRPr="00B85E4D">
        <w:rPr>
          <w:rFonts w:eastAsia="Times New Roman" w:cs="Times New Roman"/>
          <w:sz w:val="24"/>
          <w:szCs w:val="24"/>
          <w:lang w:val="en-GB"/>
        </w:rPr>
        <w:t xml:space="preserve">548/1995 on the National Bank of Moldova (republished in the Official </w:t>
      </w:r>
      <w:r w:rsidR="004A01C4" w:rsidRPr="00B85E4D">
        <w:rPr>
          <w:rFonts w:eastAsia="Times New Roman" w:cs="Times New Roman"/>
          <w:sz w:val="24"/>
          <w:szCs w:val="24"/>
          <w:lang w:val="en-GB"/>
        </w:rPr>
        <w:t>Journal</w:t>
      </w:r>
      <w:r w:rsidRPr="00B85E4D">
        <w:rPr>
          <w:rFonts w:eastAsia="Times New Roman" w:cs="Times New Roman"/>
          <w:sz w:val="24"/>
          <w:szCs w:val="24"/>
          <w:lang w:val="en-GB"/>
        </w:rPr>
        <w:t xml:space="preserve"> of the Republic of Moldova, 2015, </w:t>
      </w:r>
      <w:r w:rsidR="00152219">
        <w:rPr>
          <w:rFonts w:eastAsia="Times New Roman" w:cs="Times New Roman"/>
          <w:sz w:val="24"/>
          <w:szCs w:val="24"/>
          <w:lang w:val="en-GB"/>
        </w:rPr>
        <w:t>N</w:t>
      </w:r>
      <w:r w:rsidRPr="00B85E4D">
        <w:rPr>
          <w:rFonts w:eastAsia="Times New Roman" w:cs="Times New Roman"/>
          <w:sz w:val="24"/>
          <w:szCs w:val="24"/>
          <w:lang w:val="en-GB"/>
        </w:rPr>
        <w:t>o.</w:t>
      </w:r>
      <w:r w:rsidR="00152219">
        <w:rPr>
          <w:rFonts w:eastAsia="Times New Roman" w:cs="Times New Roman"/>
          <w:sz w:val="24"/>
          <w:szCs w:val="24"/>
          <w:lang w:val="en-GB"/>
        </w:rPr>
        <w:t xml:space="preserve"> </w:t>
      </w:r>
      <w:r w:rsidRPr="00B85E4D">
        <w:rPr>
          <w:rFonts w:eastAsia="Times New Roman" w:cs="Times New Roman"/>
          <w:sz w:val="24"/>
          <w:szCs w:val="24"/>
          <w:lang w:val="en-GB"/>
        </w:rPr>
        <w:t>297-300, Art.544), Article 60 paragraph (4) and Article 73 paragraph (1) of Law No</w:t>
      </w:r>
      <w:r w:rsidR="0075633A">
        <w:rPr>
          <w:rFonts w:eastAsia="Times New Roman" w:cs="Times New Roman"/>
          <w:sz w:val="24"/>
          <w:szCs w:val="24"/>
          <w:lang w:val="en-GB"/>
        </w:rPr>
        <w:t>.</w:t>
      </w:r>
      <w:r w:rsidRPr="00B85E4D">
        <w:rPr>
          <w:rFonts w:eastAsia="Times New Roman" w:cs="Times New Roman"/>
          <w:sz w:val="24"/>
          <w:szCs w:val="24"/>
          <w:lang w:val="en-GB"/>
        </w:rPr>
        <w:t xml:space="preserve"> 202/2017 on the activity of banks (Official </w:t>
      </w:r>
      <w:r w:rsidR="004A01C4" w:rsidRPr="00B85E4D">
        <w:rPr>
          <w:rFonts w:eastAsia="Times New Roman" w:cs="Times New Roman"/>
          <w:sz w:val="24"/>
          <w:szCs w:val="24"/>
          <w:lang w:val="en-GB"/>
        </w:rPr>
        <w:t>Journal</w:t>
      </w:r>
      <w:r w:rsidRPr="00B85E4D">
        <w:rPr>
          <w:rFonts w:eastAsia="Times New Roman" w:cs="Times New Roman"/>
          <w:sz w:val="24"/>
          <w:szCs w:val="24"/>
          <w:lang w:val="en-GB"/>
        </w:rPr>
        <w:t xml:space="preserve"> of the Republic of Moldova, 2017, No .434-439, Art.727), the Executive Board of the National Bank of Moldova</w:t>
      </w:r>
    </w:p>
    <w:p w14:paraId="32953467" w14:textId="77777777" w:rsidR="001C6DBF" w:rsidRPr="00B85E4D" w:rsidRDefault="001C6DBF" w:rsidP="001C6DBF">
      <w:pPr>
        <w:spacing w:after="0"/>
        <w:jc w:val="center"/>
        <w:rPr>
          <w:rFonts w:eastAsia="Times New Roman" w:cs="Times New Roman"/>
          <w:b/>
          <w:bCs/>
          <w:sz w:val="24"/>
          <w:szCs w:val="24"/>
          <w:lang w:val="en-GB"/>
        </w:rPr>
      </w:pPr>
    </w:p>
    <w:p w14:paraId="21081FFF" w14:textId="77777777" w:rsidR="001C6DBF" w:rsidRPr="00B85E4D" w:rsidRDefault="001C6DBF" w:rsidP="001C6DBF">
      <w:pPr>
        <w:spacing w:after="0"/>
        <w:jc w:val="center"/>
        <w:rPr>
          <w:rFonts w:eastAsia="Times New Roman" w:cs="Times New Roman"/>
          <w:b/>
          <w:bCs/>
          <w:sz w:val="24"/>
          <w:szCs w:val="24"/>
          <w:lang w:val="en-GB"/>
        </w:rPr>
      </w:pPr>
      <w:r w:rsidRPr="00B85E4D">
        <w:rPr>
          <w:rFonts w:eastAsia="Times New Roman" w:cs="Times New Roman"/>
          <w:b/>
          <w:bCs/>
          <w:sz w:val="24"/>
          <w:szCs w:val="24"/>
          <w:lang w:val="en-GB"/>
        </w:rPr>
        <w:t>DECIDES:</w:t>
      </w:r>
    </w:p>
    <w:p w14:paraId="4FC0458A" w14:textId="77777777" w:rsidR="001C6DBF" w:rsidRPr="00B85E4D" w:rsidRDefault="001C6DBF" w:rsidP="001C6DBF">
      <w:pPr>
        <w:spacing w:after="0"/>
        <w:jc w:val="center"/>
        <w:rPr>
          <w:rFonts w:eastAsia="Times New Roman" w:cs="Times New Roman"/>
          <w:b/>
          <w:bCs/>
          <w:sz w:val="24"/>
          <w:szCs w:val="24"/>
          <w:lang w:val="en-GB"/>
        </w:rPr>
      </w:pPr>
    </w:p>
    <w:p w14:paraId="5C92ABCA" w14:textId="1A7EA938" w:rsidR="001C6DBF" w:rsidRPr="00B85E4D" w:rsidRDefault="00484D83" w:rsidP="00484D83">
      <w:pPr>
        <w:spacing w:after="0"/>
        <w:rPr>
          <w:rFonts w:eastAsia="Times New Roman" w:cs="Times New Roman"/>
          <w:sz w:val="24"/>
          <w:szCs w:val="24"/>
          <w:lang w:val="en-GB"/>
        </w:rPr>
      </w:pPr>
      <w:r w:rsidRPr="00B85E4D">
        <w:rPr>
          <w:rFonts w:eastAsia="Times New Roman" w:cs="Times New Roman"/>
          <w:b/>
          <w:bCs/>
          <w:sz w:val="24"/>
          <w:szCs w:val="24"/>
          <w:lang w:val="en-GB"/>
        </w:rPr>
        <w:t>1.</w:t>
      </w:r>
      <w:r w:rsidRPr="00B85E4D">
        <w:rPr>
          <w:rFonts w:eastAsia="Times New Roman" w:cs="Times New Roman"/>
          <w:sz w:val="24"/>
          <w:szCs w:val="24"/>
          <w:lang w:val="en-GB"/>
        </w:rPr>
        <w:t xml:space="preserve"> </w:t>
      </w:r>
      <w:r w:rsidR="001C6DBF" w:rsidRPr="00B85E4D">
        <w:rPr>
          <w:rFonts w:eastAsia="Times New Roman" w:cs="Times New Roman"/>
          <w:sz w:val="24"/>
          <w:szCs w:val="24"/>
          <w:lang w:val="en-GB"/>
        </w:rPr>
        <w:t>The Regulation on the treatment of counterparty credit risk for banks (attached) shall be approved.</w:t>
      </w:r>
    </w:p>
    <w:p w14:paraId="01D5560E" w14:textId="77777777" w:rsidR="001C6DBF" w:rsidRPr="00B85E4D" w:rsidRDefault="001C6DBF" w:rsidP="001C6DBF">
      <w:pPr>
        <w:spacing w:after="0"/>
        <w:jc w:val="both"/>
        <w:rPr>
          <w:rFonts w:eastAsia="Times New Roman" w:cs="Times New Roman"/>
          <w:sz w:val="24"/>
          <w:szCs w:val="24"/>
          <w:lang w:val="en-GB"/>
        </w:rPr>
      </w:pPr>
    </w:p>
    <w:p w14:paraId="7052F940" w14:textId="6049685D" w:rsidR="001C6DBF" w:rsidRPr="00B85E4D" w:rsidRDefault="00484D83" w:rsidP="00484D83">
      <w:pPr>
        <w:spacing w:after="0"/>
        <w:jc w:val="both"/>
        <w:rPr>
          <w:rFonts w:eastAsia="Times New Roman" w:cs="Times New Roman"/>
          <w:sz w:val="24"/>
          <w:szCs w:val="24"/>
          <w:lang w:val="en-GB"/>
        </w:rPr>
      </w:pPr>
      <w:r w:rsidRPr="00B85E4D">
        <w:rPr>
          <w:rFonts w:eastAsia="Times New Roman" w:cs="Times New Roman"/>
          <w:b/>
          <w:bCs/>
          <w:sz w:val="24"/>
          <w:szCs w:val="24"/>
          <w:lang w:val="en-GB"/>
        </w:rPr>
        <w:t>2.</w:t>
      </w:r>
      <w:r w:rsidRPr="00B85E4D">
        <w:rPr>
          <w:rFonts w:eastAsia="Times New Roman" w:cs="Times New Roman"/>
          <w:sz w:val="24"/>
          <w:szCs w:val="24"/>
          <w:lang w:val="en-GB"/>
        </w:rPr>
        <w:t xml:space="preserve"> </w:t>
      </w:r>
      <w:r w:rsidR="001C6DBF" w:rsidRPr="00B85E4D">
        <w:rPr>
          <w:rFonts w:eastAsia="Times New Roman" w:cs="Times New Roman"/>
          <w:sz w:val="24"/>
          <w:szCs w:val="24"/>
          <w:lang w:val="en-GB"/>
        </w:rPr>
        <w:t xml:space="preserve">The Decision of the Executive Board of the National Bank of Moldova No. 102/2020 approving the Regulation </w:t>
      </w:r>
      <w:r w:rsidR="00B903DA" w:rsidRPr="00B85E4D">
        <w:rPr>
          <w:rFonts w:eastAsia="Times New Roman" w:cs="Times New Roman"/>
          <w:sz w:val="24"/>
          <w:szCs w:val="24"/>
          <w:lang w:val="en-GB"/>
        </w:rPr>
        <w:t xml:space="preserve">on the treatment of counterparty credit risk for banks </w:t>
      </w:r>
      <w:r w:rsidR="001C6DBF" w:rsidRPr="00B85E4D">
        <w:rPr>
          <w:rFonts w:eastAsia="Times New Roman" w:cs="Times New Roman"/>
          <w:sz w:val="24"/>
          <w:szCs w:val="24"/>
          <w:lang w:val="en-GB"/>
        </w:rPr>
        <w:t xml:space="preserve">(Official </w:t>
      </w:r>
      <w:r w:rsidR="004A01C4" w:rsidRPr="00B85E4D">
        <w:rPr>
          <w:rFonts w:eastAsia="Times New Roman" w:cs="Times New Roman"/>
          <w:sz w:val="24"/>
          <w:szCs w:val="24"/>
          <w:lang w:val="en-GB"/>
        </w:rPr>
        <w:t>Journal</w:t>
      </w:r>
      <w:r w:rsidR="001C6DBF" w:rsidRPr="00B85E4D">
        <w:rPr>
          <w:rFonts w:eastAsia="Times New Roman" w:cs="Times New Roman"/>
          <w:sz w:val="24"/>
          <w:szCs w:val="24"/>
          <w:lang w:val="en-GB"/>
        </w:rPr>
        <w:t xml:space="preserve"> of the Republic of Moldova, 2020, No. 118–123, Art. 464), registered with the Ministry of Justice of the Republic of Moldova under No. 1563 of 8 May 2020, shall be repealed.</w:t>
      </w:r>
    </w:p>
    <w:p w14:paraId="3A3105DD" w14:textId="77777777" w:rsidR="001C6DBF" w:rsidRPr="00B85E4D" w:rsidRDefault="001C6DBF" w:rsidP="001C6DBF">
      <w:pPr>
        <w:spacing w:after="0"/>
        <w:jc w:val="both"/>
        <w:rPr>
          <w:rFonts w:eastAsia="Times New Roman" w:cs="Times New Roman"/>
          <w:sz w:val="24"/>
          <w:szCs w:val="24"/>
          <w:lang w:val="en-GB"/>
        </w:rPr>
      </w:pPr>
    </w:p>
    <w:p w14:paraId="33191A4D" w14:textId="50ECBB20" w:rsidR="001C6DBF" w:rsidRPr="00B85E4D" w:rsidRDefault="00484D83" w:rsidP="00484D83">
      <w:pPr>
        <w:spacing w:after="0"/>
        <w:jc w:val="both"/>
        <w:rPr>
          <w:rFonts w:eastAsia="Times New Roman" w:cs="Times New Roman"/>
          <w:sz w:val="24"/>
          <w:szCs w:val="24"/>
          <w:lang w:val="en-GB"/>
        </w:rPr>
      </w:pPr>
      <w:r w:rsidRPr="00B85E4D">
        <w:rPr>
          <w:rFonts w:eastAsia="Times New Roman" w:cs="Times New Roman"/>
          <w:b/>
          <w:bCs/>
          <w:sz w:val="24"/>
          <w:szCs w:val="24"/>
          <w:lang w:val="en-GB"/>
        </w:rPr>
        <w:t>3.</w:t>
      </w:r>
      <w:r w:rsidRPr="00B85E4D">
        <w:rPr>
          <w:rFonts w:eastAsia="Times New Roman" w:cs="Times New Roman"/>
          <w:sz w:val="24"/>
          <w:szCs w:val="24"/>
          <w:lang w:val="en-GB"/>
        </w:rPr>
        <w:t xml:space="preserve"> </w:t>
      </w:r>
      <w:r w:rsidR="001C6DBF" w:rsidRPr="00B85E4D">
        <w:rPr>
          <w:rFonts w:eastAsia="Times New Roman" w:cs="Times New Roman"/>
          <w:sz w:val="24"/>
          <w:szCs w:val="24"/>
          <w:lang w:val="en-GB"/>
        </w:rPr>
        <w:t xml:space="preserve">In paragraph 132 subparagraph 6) of the Regulation on </w:t>
      </w:r>
      <w:r w:rsidR="00B903DA" w:rsidRPr="00B85E4D">
        <w:rPr>
          <w:rFonts w:eastAsia="Times New Roman" w:cs="Times New Roman"/>
          <w:sz w:val="24"/>
          <w:szCs w:val="24"/>
          <w:lang w:val="en-GB"/>
        </w:rPr>
        <w:t>o</w:t>
      </w:r>
      <w:r w:rsidR="001C6DBF" w:rsidRPr="00B85E4D">
        <w:rPr>
          <w:rFonts w:eastAsia="Times New Roman" w:cs="Times New Roman"/>
          <w:sz w:val="24"/>
          <w:szCs w:val="24"/>
          <w:lang w:val="en-GB"/>
        </w:rPr>
        <w:t xml:space="preserve">wn </w:t>
      </w:r>
      <w:r w:rsidR="00B903DA" w:rsidRPr="00B85E4D">
        <w:rPr>
          <w:rFonts w:eastAsia="Times New Roman" w:cs="Times New Roman"/>
          <w:sz w:val="24"/>
          <w:szCs w:val="24"/>
          <w:lang w:val="en-GB"/>
        </w:rPr>
        <w:t>f</w:t>
      </w:r>
      <w:r w:rsidR="001C6DBF" w:rsidRPr="00B85E4D">
        <w:rPr>
          <w:rFonts w:eastAsia="Times New Roman" w:cs="Times New Roman"/>
          <w:sz w:val="24"/>
          <w:szCs w:val="24"/>
          <w:lang w:val="en-GB"/>
        </w:rPr>
        <w:t xml:space="preserve">unds </w:t>
      </w:r>
      <w:r w:rsidR="00B903DA" w:rsidRPr="00B85E4D">
        <w:rPr>
          <w:rFonts w:eastAsia="Times New Roman" w:cs="Times New Roman"/>
          <w:sz w:val="24"/>
          <w:szCs w:val="24"/>
          <w:lang w:val="en-GB"/>
        </w:rPr>
        <w:t xml:space="preserve">of banks </w:t>
      </w:r>
      <w:r w:rsidR="001C6DBF" w:rsidRPr="00B85E4D">
        <w:rPr>
          <w:rFonts w:eastAsia="Times New Roman" w:cs="Times New Roman"/>
          <w:sz w:val="24"/>
          <w:szCs w:val="24"/>
          <w:lang w:val="en-GB"/>
        </w:rPr>
        <w:t xml:space="preserve">and </w:t>
      </w:r>
      <w:r w:rsidR="00B903DA" w:rsidRPr="00B85E4D">
        <w:rPr>
          <w:rFonts w:eastAsia="Times New Roman" w:cs="Times New Roman"/>
          <w:sz w:val="24"/>
          <w:szCs w:val="24"/>
          <w:lang w:val="en-GB"/>
        </w:rPr>
        <w:t>c</w:t>
      </w:r>
      <w:r w:rsidR="001C6DBF" w:rsidRPr="00B85E4D">
        <w:rPr>
          <w:rFonts w:eastAsia="Times New Roman" w:cs="Times New Roman"/>
          <w:sz w:val="24"/>
          <w:szCs w:val="24"/>
          <w:lang w:val="en-GB"/>
        </w:rPr>
        <w:t xml:space="preserve">apital </w:t>
      </w:r>
      <w:r w:rsidR="00B903DA" w:rsidRPr="00B85E4D">
        <w:rPr>
          <w:rFonts w:eastAsia="Times New Roman" w:cs="Times New Roman"/>
          <w:sz w:val="24"/>
          <w:szCs w:val="24"/>
          <w:lang w:val="en-GB"/>
        </w:rPr>
        <w:t>r</w:t>
      </w:r>
      <w:r w:rsidR="001C6DBF" w:rsidRPr="00B85E4D">
        <w:rPr>
          <w:rFonts w:eastAsia="Times New Roman" w:cs="Times New Roman"/>
          <w:sz w:val="24"/>
          <w:szCs w:val="24"/>
          <w:lang w:val="en-GB"/>
        </w:rPr>
        <w:t xml:space="preserve">equirements, approved by the Decision of the Executive Board of the National Bank of Moldova No. 109/2018 (Official </w:t>
      </w:r>
      <w:r w:rsidR="004A01C4" w:rsidRPr="00B85E4D">
        <w:rPr>
          <w:rFonts w:eastAsia="Times New Roman" w:cs="Times New Roman"/>
          <w:sz w:val="24"/>
          <w:szCs w:val="24"/>
          <w:lang w:val="en-GB"/>
        </w:rPr>
        <w:t>Journal</w:t>
      </w:r>
      <w:r w:rsidR="001C6DBF" w:rsidRPr="00B85E4D">
        <w:rPr>
          <w:rFonts w:eastAsia="Times New Roman" w:cs="Times New Roman"/>
          <w:sz w:val="24"/>
          <w:szCs w:val="24"/>
          <w:lang w:val="en-GB"/>
        </w:rPr>
        <w:t xml:space="preserve"> of the Republic of Moldova, 2018, No. 183–194, Art. 899), the </w:t>
      </w:r>
      <w:proofErr w:type="gramStart"/>
      <w:r w:rsidR="001C6DBF" w:rsidRPr="00B85E4D">
        <w:rPr>
          <w:rFonts w:eastAsia="Times New Roman" w:cs="Times New Roman"/>
          <w:sz w:val="24"/>
          <w:szCs w:val="24"/>
          <w:lang w:val="en-GB"/>
        </w:rPr>
        <w:t xml:space="preserve">text </w:t>
      </w:r>
      <w:r w:rsidR="00B903DA" w:rsidRPr="00B85E4D">
        <w:rPr>
          <w:rFonts w:eastAsia="Times New Roman" w:cs="Times New Roman"/>
          <w:sz w:val="24"/>
          <w:szCs w:val="24"/>
          <w:lang w:val="en-GB"/>
        </w:rPr>
        <w:t>”</w:t>
      </w:r>
      <w:r w:rsidR="001C6DBF" w:rsidRPr="00B85E4D">
        <w:rPr>
          <w:rFonts w:eastAsia="Times New Roman" w:cs="Times New Roman"/>
          <w:sz w:val="24"/>
          <w:szCs w:val="24"/>
          <w:lang w:val="en-GB"/>
        </w:rPr>
        <w:t>approved</w:t>
      </w:r>
      <w:proofErr w:type="gramEnd"/>
      <w:r w:rsidR="001C6DBF" w:rsidRPr="00B85E4D">
        <w:rPr>
          <w:rFonts w:eastAsia="Times New Roman" w:cs="Times New Roman"/>
          <w:sz w:val="24"/>
          <w:szCs w:val="24"/>
          <w:lang w:val="en-GB"/>
        </w:rPr>
        <w:t xml:space="preserve"> by the Decision of the Executive Board of the National Bank of Moldova No. 102/2020” shall be excluded.</w:t>
      </w:r>
    </w:p>
    <w:p w14:paraId="25B279E2" w14:textId="77777777" w:rsidR="00484D83" w:rsidRPr="00B85E4D" w:rsidRDefault="00484D83" w:rsidP="00484D83">
      <w:pPr>
        <w:spacing w:after="0"/>
        <w:jc w:val="both"/>
        <w:rPr>
          <w:rFonts w:eastAsia="Times New Roman" w:cs="Times New Roman"/>
          <w:b/>
          <w:bCs/>
          <w:sz w:val="24"/>
          <w:szCs w:val="24"/>
          <w:lang w:val="en-GB" w:eastAsia="ro-RO"/>
        </w:rPr>
      </w:pPr>
    </w:p>
    <w:p w14:paraId="26E65D9F" w14:textId="63807013"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4.</w:t>
      </w:r>
      <w:r w:rsidRPr="00B85E4D">
        <w:rPr>
          <w:rFonts w:eastAsia="Times New Roman" w:cs="Times New Roman"/>
          <w:sz w:val="24"/>
          <w:szCs w:val="24"/>
          <w:lang w:val="en-GB" w:eastAsia="ro-RO"/>
        </w:rPr>
        <w:t xml:space="preserve"> The Regulation on large exposures, approved by the Decision of the Executive Board of the National Bank of Moldova No. 109/2019 (Official </w:t>
      </w:r>
      <w:r w:rsidR="004A01C4" w:rsidRPr="00B85E4D">
        <w:rPr>
          <w:rFonts w:eastAsia="Times New Roman" w:cs="Times New Roman"/>
          <w:sz w:val="24"/>
          <w:szCs w:val="24"/>
          <w:lang w:val="en-GB" w:eastAsia="ro-RO"/>
        </w:rPr>
        <w:t>Journal</w:t>
      </w:r>
      <w:r w:rsidRPr="00B85E4D">
        <w:rPr>
          <w:rFonts w:eastAsia="Times New Roman" w:cs="Times New Roman"/>
          <w:sz w:val="24"/>
          <w:szCs w:val="24"/>
          <w:lang w:val="en-GB" w:eastAsia="ro-RO"/>
        </w:rPr>
        <w:t xml:space="preserve"> of the Republic of Moldova, 2019, No. 139–147, Art. 704), shall be amended as follows:</w:t>
      </w:r>
    </w:p>
    <w:p w14:paraId="6EA26537" w14:textId="77777777" w:rsidR="00484D83" w:rsidRPr="00B85E4D" w:rsidRDefault="00484D83" w:rsidP="00484D83">
      <w:pPr>
        <w:spacing w:after="0"/>
        <w:jc w:val="both"/>
        <w:rPr>
          <w:rFonts w:eastAsia="Times New Roman" w:cs="Times New Roman"/>
          <w:sz w:val="24"/>
          <w:szCs w:val="24"/>
          <w:lang w:val="en-GB" w:eastAsia="ro-RO"/>
        </w:rPr>
      </w:pPr>
    </w:p>
    <w:p w14:paraId="6711E19E" w14:textId="77777777"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4.1.</w:t>
      </w:r>
      <w:r w:rsidRPr="00B85E4D">
        <w:rPr>
          <w:rFonts w:eastAsia="Times New Roman" w:cs="Times New Roman"/>
          <w:sz w:val="24"/>
          <w:szCs w:val="24"/>
          <w:lang w:val="en-GB" w:eastAsia="ro-RO"/>
        </w:rPr>
        <w:t xml:space="preserve"> In paragraph 8:</w:t>
      </w:r>
    </w:p>
    <w:p w14:paraId="3409674E" w14:textId="7C4D85FA"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4.1.1.</w:t>
      </w:r>
      <w:r w:rsidRPr="00B85E4D">
        <w:rPr>
          <w:rFonts w:eastAsia="Times New Roman" w:cs="Times New Roman"/>
          <w:sz w:val="24"/>
          <w:szCs w:val="24"/>
          <w:lang w:val="en-GB" w:eastAsia="ro-RO"/>
        </w:rPr>
        <w:t xml:space="preserve"> The </w:t>
      </w:r>
      <w:proofErr w:type="gramStart"/>
      <w:r w:rsidRPr="00B85E4D">
        <w:rPr>
          <w:rFonts w:eastAsia="Times New Roman" w:cs="Times New Roman"/>
          <w:sz w:val="24"/>
          <w:szCs w:val="24"/>
          <w:lang w:val="en-GB" w:eastAsia="ro-RO"/>
        </w:rPr>
        <w:t>text ”paragraphs</w:t>
      </w:r>
      <w:proofErr w:type="gramEnd"/>
      <w:r w:rsidRPr="00B85E4D">
        <w:rPr>
          <w:rFonts w:eastAsia="Times New Roman" w:cs="Times New Roman"/>
          <w:sz w:val="24"/>
          <w:szCs w:val="24"/>
          <w:lang w:val="en-GB" w:eastAsia="ro-RO"/>
        </w:rPr>
        <w:t xml:space="preserve"> 67–76 of the Regulation </w:t>
      </w:r>
      <w:r w:rsidRPr="00B85E4D">
        <w:rPr>
          <w:rFonts w:eastAsia="Times New Roman" w:cs="Times New Roman"/>
          <w:sz w:val="24"/>
          <w:szCs w:val="24"/>
          <w:lang w:val="en-GB"/>
        </w:rPr>
        <w:t>on the treatment of counterparty credit risk for banks</w:t>
      </w:r>
      <w:r w:rsidRPr="00B85E4D">
        <w:rPr>
          <w:rFonts w:eastAsia="Times New Roman" w:cs="Times New Roman"/>
          <w:sz w:val="24"/>
          <w:szCs w:val="24"/>
          <w:lang w:val="en-GB" w:eastAsia="ro-RO"/>
        </w:rPr>
        <w:t xml:space="preserve">, approved by the Decision of the Executive Board of the National Bank of Moldova No. 102/2020 (hereinafter – Regulation No. 102/2020)” shall be replaced with the text ”Regulation </w:t>
      </w:r>
      <w:r w:rsidRPr="00B85E4D">
        <w:rPr>
          <w:rFonts w:eastAsia="Times New Roman" w:cs="Times New Roman"/>
          <w:sz w:val="24"/>
          <w:szCs w:val="24"/>
          <w:lang w:val="en-GB"/>
        </w:rPr>
        <w:t>on the treatment of counterparty credit risk for banks</w:t>
      </w:r>
      <w:r w:rsidRPr="00B85E4D">
        <w:rPr>
          <w:rFonts w:eastAsia="Times New Roman" w:cs="Times New Roman"/>
          <w:sz w:val="24"/>
          <w:szCs w:val="24"/>
          <w:lang w:val="en-GB" w:eastAsia="ro-RO"/>
        </w:rPr>
        <w:t>”;</w:t>
      </w:r>
    </w:p>
    <w:p w14:paraId="67CCED4E" w14:textId="6C19487B"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4.1.2.</w:t>
      </w:r>
      <w:r w:rsidRPr="00B85E4D">
        <w:rPr>
          <w:rFonts w:eastAsia="Times New Roman" w:cs="Times New Roman"/>
          <w:sz w:val="24"/>
          <w:szCs w:val="24"/>
          <w:lang w:val="en-GB" w:eastAsia="ro-RO"/>
        </w:rPr>
        <w:t xml:space="preserve"> In subparagraph 3), the </w:t>
      </w:r>
      <w:proofErr w:type="gramStart"/>
      <w:r w:rsidRPr="00B85E4D">
        <w:rPr>
          <w:rFonts w:eastAsia="Times New Roman" w:cs="Times New Roman"/>
          <w:sz w:val="24"/>
          <w:szCs w:val="24"/>
          <w:lang w:val="en-GB" w:eastAsia="ro-RO"/>
        </w:rPr>
        <w:t>text ”in</w:t>
      </w:r>
      <w:proofErr w:type="gramEnd"/>
      <w:r w:rsidRPr="00B85E4D">
        <w:rPr>
          <w:rFonts w:eastAsia="Times New Roman" w:cs="Times New Roman"/>
          <w:sz w:val="24"/>
          <w:szCs w:val="24"/>
          <w:lang w:val="en-GB" w:eastAsia="ro-RO"/>
        </w:rPr>
        <w:t xml:space="preserve"> paragraphs 67–76 of Regulation No. 102/2020” shall be replaced with the text “in the Regulation </w:t>
      </w:r>
      <w:r w:rsidRPr="00B85E4D">
        <w:rPr>
          <w:rFonts w:eastAsia="Times New Roman" w:cs="Times New Roman"/>
          <w:sz w:val="24"/>
          <w:szCs w:val="24"/>
          <w:lang w:val="en-GB"/>
        </w:rPr>
        <w:t>on the treatment of counterparty credit risk for banks.</w:t>
      </w:r>
      <w:r w:rsidRPr="00B85E4D">
        <w:rPr>
          <w:rFonts w:eastAsia="Times New Roman" w:cs="Times New Roman"/>
          <w:sz w:val="24"/>
          <w:szCs w:val="24"/>
          <w:lang w:val="en-GB" w:eastAsia="ro-RO"/>
        </w:rPr>
        <w:t>”</w:t>
      </w:r>
    </w:p>
    <w:p w14:paraId="3BB8BE99" w14:textId="77777777" w:rsidR="00484D83" w:rsidRPr="00B85E4D" w:rsidRDefault="00484D83" w:rsidP="00484D83">
      <w:pPr>
        <w:spacing w:after="0"/>
        <w:jc w:val="both"/>
        <w:rPr>
          <w:rFonts w:eastAsia="Times New Roman" w:cs="Times New Roman"/>
          <w:sz w:val="24"/>
          <w:szCs w:val="24"/>
          <w:lang w:val="en-GB" w:eastAsia="ro-RO"/>
        </w:rPr>
      </w:pPr>
    </w:p>
    <w:p w14:paraId="3974D7B0" w14:textId="5E3D9ED5"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lastRenderedPageBreak/>
        <w:t>4.2.</w:t>
      </w:r>
      <w:r w:rsidRPr="00B85E4D">
        <w:rPr>
          <w:rFonts w:eastAsia="Times New Roman" w:cs="Times New Roman"/>
          <w:sz w:val="24"/>
          <w:szCs w:val="24"/>
          <w:lang w:val="en-GB" w:eastAsia="ro-RO"/>
        </w:rPr>
        <w:t xml:space="preserve"> In paragraph 14</w:t>
      </w:r>
      <w:r w:rsidRPr="00B85E4D">
        <w:rPr>
          <w:rFonts w:eastAsia="Times New Roman" w:cs="Times New Roman"/>
          <w:sz w:val="24"/>
          <w:szCs w:val="24"/>
          <w:vertAlign w:val="superscript"/>
          <w:lang w:val="en-GB" w:eastAsia="ro-RO"/>
        </w:rPr>
        <w:t>1</w:t>
      </w:r>
      <w:r w:rsidRPr="00B85E4D">
        <w:rPr>
          <w:rFonts w:eastAsia="Times New Roman" w:cs="Times New Roman"/>
          <w:sz w:val="24"/>
          <w:szCs w:val="24"/>
          <w:lang w:val="en-GB" w:eastAsia="ro-RO"/>
        </w:rPr>
        <w:t xml:space="preserve">, the text “Regulation No. 102/2020” shall be replaced with the text “Regulation </w:t>
      </w:r>
      <w:r w:rsidRPr="00B85E4D">
        <w:rPr>
          <w:rFonts w:eastAsia="Times New Roman" w:cs="Times New Roman"/>
          <w:sz w:val="24"/>
          <w:szCs w:val="24"/>
          <w:lang w:val="en-GB"/>
        </w:rPr>
        <w:t>on the treatment of counterparty credit risk for banks</w:t>
      </w:r>
      <w:r w:rsidRPr="00B85E4D">
        <w:rPr>
          <w:rFonts w:eastAsia="Times New Roman" w:cs="Times New Roman"/>
          <w:sz w:val="24"/>
          <w:szCs w:val="24"/>
          <w:lang w:val="en-GB" w:eastAsia="ro-RO"/>
        </w:rPr>
        <w:t>.”</w:t>
      </w:r>
    </w:p>
    <w:p w14:paraId="52834830" w14:textId="77777777" w:rsidR="00484D83" w:rsidRPr="00B85E4D" w:rsidRDefault="00484D83" w:rsidP="00484D83">
      <w:pPr>
        <w:spacing w:after="0"/>
        <w:jc w:val="both"/>
        <w:rPr>
          <w:rFonts w:eastAsia="Times New Roman" w:cs="Times New Roman"/>
          <w:sz w:val="24"/>
          <w:szCs w:val="24"/>
          <w:lang w:val="en-GB" w:eastAsia="ro-RO"/>
        </w:rPr>
      </w:pPr>
    </w:p>
    <w:p w14:paraId="11753DB2" w14:textId="487491D0"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5.</w:t>
      </w:r>
      <w:r w:rsidRPr="00B85E4D">
        <w:rPr>
          <w:rFonts w:eastAsia="Times New Roman" w:cs="Times New Roman"/>
          <w:sz w:val="24"/>
          <w:szCs w:val="24"/>
          <w:lang w:val="en-GB" w:eastAsia="ro-RO"/>
        </w:rPr>
        <w:t xml:space="preserve"> In paragraph 60 of the Regulation on liquidity, approved by the Decision of the Executive Board of the National Bank of Moldova No. 329/2024 (Official </w:t>
      </w:r>
      <w:r w:rsidR="004A01C4" w:rsidRPr="00B85E4D">
        <w:rPr>
          <w:rFonts w:eastAsia="Times New Roman" w:cs="Times New Roman"/>
          <w:sz w:val="24"/>
          <w:szCs w:val="24"/>
          <w:lang w:val="en-GB" w:eastAsia="ro-RO"/>
        </w:rPr>
        <w:t>Journal</w:t>
      </w:r>
      <w:r w:rsidRPr="00B85E4D">
        <w:rPr>
          <w:rFonts w:eastAsia="Times New Roman" w:cs="Times New Roman"/>
          <w:sz w:val="24"/>
          <w:szCs w:val="24"/>
          <w:lang w:val="en-GB" w:eastAsia="ro-RO"/>
        </w:rPr>
        <w:t xml:space="preserve"> of the Republic of Moldova, 2024, No. 544–547, Art. 1018), the text ”in Section 1, Chapter VI of the Regulation </w:t>
      </w:r>
      <w:r w:rsidRPr="00B85E4D">
        <w:rPr>
          <w:rFonts w:eastAsia="Times New Roman" w:cs="Times New Roman"/>
          <w:sz w:val="24"/>
          <w:szCs w:val="24"/>
          <w:lang w:val="en-GB"/>
        </w:rPr>
        <w:t>on the treatment of counterparty credit risk for banks</w:t>
      </w:r>
      <w:r w:rsidRPr="00B85E4D">
        <w:rPr>
          <w:rFonts w:eastAsia="Times New Roman" w:cs="Times New Roman"/>
          <w:sz w:val="24"/>
          <w:szCs w:val="24"/>
          <w:lang w:val="en-GB" w:eastAsia="ro-RO"/>
        </w:rPr>
        <w:t xml:space="preserve">, approved by the Decision of the Executive Board of the National Bank of Moldova No. 102/2020” shall be replaced with the text “in the Regulation </w:t>
      </w:r>
      <w:r w:rsidRPr="00B85E4D">
        <w:rPr>
          <w:rFonts w:eastAsia="Times New Roman" w:cs="Times New Roman"/>
          <w:sz w:val="24"/>
          <w:szCs w:val="24"/>
          <w:lang w:val="en-GB"/>
        </w:rPr>
        <w:t>on the treatment of counterparty credit risk for banks</w:t>
      </w:r>
      <w:r w:rsidRPr="00B85E4D">
        <w:rPr>
          <w:rFonts w:eastAsia="Times New Roman" w:cs="Times New Roman"/>
          <w:sz w:val="24"/>
          <w:szCs w:val="24"/>
          <w:lang w:val="en-GB" w:eastAsia="ro-RO"/>
        </w:rPr>
        <w:t>.”</w:t>
      </w:r>
    </w:p>
    <w:p w14:paraId="59CC8A7D" w14:textId="77777777" w:rsidR="00484D83" w:rsidRPr="00B85E4D" w:rsidRDefault="00484D83" w:rsidP="00484D83">
      <w:pPr>
        <w:spacing w:after="0"/>
        <w:jc w:val="both"/>
        <w:rPr>
          <w:rFonts w:eastAsia="Times New Roman" w:cs="Times New Roman"/>
          <w:sz w:val="24"/>
          <w:szCs w:val="24"/>
          <w:lang w:val="en-GB" w:eastAsia="ro-RO"/>
        </w:rPr>
      </w:pPr>
    </w:p>
    <w:p w14:paraId="51D142F0" w14:textId="27651948"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6.</w:t>
      </w:r>
      <w:r w:rsidRPr="00B85E4D">
        <w:rPr>
          <w:rFonts w:eastAsia="Times New Roman" w:cs="Times New Roman"/>
          <w:sz w:val="24"/>
          <w:szCs w:val="24"/>
          <w:lang w:val="en-GB" w:eastAsia="ro-RO"/>
        </w:rPr>
        <w:t xml:space="preserve"> In paragraph 8</w:t>
      </w:r>
      <w:r w:rsidRPr="00B85E4D">
        <w:rPr>
          <w:rFonts w:eastAsia="Times New Roman" w:cs="Times New Roman"/>
          <w:sz w:val="24"/>
          <w:szCs w:val="24"/>
          <w:vertAlign w:val="superscript"/>
          <w:lang w:val="en-GB" w:eastAsia="ro-RO"/>
        </w:rPr>
        <w:t>1</w:t>
      </w:r>
      <w:r w:rsidRPr="00B85E4D">
        <w:rPr>
          <w:rFonts w:eastAsia="Times New Roman" w:cs="Times New Roman"/>
          <w:sz w:val="24"/>
          <w:szCs w:val="24"/>
          <w:lang w:val="en-GB" w:eastAsia="ro-RO"/>
        </w:rPr>
        <w:t xml:space="preserve"> of the Regulation </w:t>
      </w:r>
      <w:r w:rsidRPr="00B85E4D">
        <w:rPr>
          <w:rFonts w:eastAsia="Times New Roman" w:cs="Times New Roman"/>
          <w:sz w:val="24"/>
          <w:szCs w:val="24"/>
          <w:lang w:val="en-GB"/>
        </w:rPr>
        <w:t>on the treatment of counterparty credit risk for banks</w:t>
      </w:r>
      <w:r w:rsidRPr="00B85E4D">
        <w:rPr>
          <w:rFonts w:eastAsia="Times New Roman" w:cs="Times New Roman"/>
          <w:sz w:val="24"/>
          <w:szCs w:val="24"/>
          <w:lang w:val="en-GB" w:eastAsia="ro-RO"/>
        </w:rPr>
        <w:t xml:space="preserve"> under the Standardised </w:t>
      </w:r>
      <w:r w:rsidR="004A01C4" w:rsidRPr="00B85E4D">
        <w:rPr>
          <w:rFonts w:eastAsia="Times New Roman" w:cs="Times New Roman"/>
          <w:sz w:val="24"/>
          <w:szCs w:val="24"/>
          <w:lang w:val="en-GB" w:eastAsia="ro-RO"/>
        </w:rPr>
        <w:t>Approach</w:t>
      </w:r>
      <w:r w:rsidRPr="00B85E4D">
        <w:rPr>
          <w:rFonts w:eastAsia="Times New Roman" w:cs="Times New Roman"/>
          <w:sz w:val="24"/>
          <w:szCs w:val="24"/>
          <w:lang w:val="en-GB" w:eastAsia="ro-RO"/>
        </w:rPr>
        <w:t xml:space="preserve">, approved by the Decision of the Executive Board of the National Bank of Moldova No. 111/2018 (Official </w:t>
      </w:r>
      <w:r w:rsidR="004A01C4" w:rsidRPr="00B85E4D">
        <w:rPr>
          <w:rFonts w:eastAsia="Times New Roman" w:cs="Times New Roman"/>
          <w:sz w:val="24"/>
          <w:szCs w:val="24"/>
          <w:lang w:val="en-GB" w:eastAsia="ro-RO"/>
        </w:rPr>
        <w:t>Journal</w:t>
      </w:r>
      <w:r w:rsidRPr="00B85E4D">
        <w:rPr>
          <w:rFonts w:eastAsia="Times New Roman" w:cs="Times New Roman"/>
          <w:sz w:val="24"/>
          <w:szCs w:val="24"/>
          <w:lang w:val="en-GB" w:eastAsia="ro-RO"/>
        </w:rPr>
        <w:t xml:space="preserve"> of the Republic of Moldova, 2018, No. 183–194, Art. 901), the </w:t>
      </w:r>
      <w:proofErr w:type="gramStart"/>
      <w:r w:rsidRPr="00B85E4D">
        <w:rPr>
          <w:rFonts w:eastAsia="Times New Roman" w:cs="Times New Roman"/>
          <w:sz w:val="24"/>
          <w:szCs w:val="24"/>
          <w:lang w:val="en-GB" w:eastAsia="ro-RO"/>
        </w:rPr>
        <w:t>text ”approved</w:t>
      </w:r>
      <w:proofErr w:type="gramEnd"/>
      <w:r w:rsidRPr="00B85E4D">
        <w:rPr>
          <w:rFonts w:eastAsia="Times New Roman" w:cs="Times New Roman"/>
          <w:sz w:val="24"/>
          <w:szCs w:val="24"/>
          <w:lang w:val="en-GB" w:eastAsia="ro-RO"/>
        </w:rPr>
        <w:t xml:space="preserve"> by the Decision of the Executive Board of the National Bank of Moldova No. 102/2020” shall be excluded.</w:t>
      </w:r>
    </w:p>
    <w:p w14:paraId="0B7C25BD" w14:textId="77777777" w:rsidR="00484D83" w:rsidRPr="00B85E4D" w:rsidRDefault="00484D83" w:rsidP="00484D83">
      <w:pPr>
        <w:spacing w:after="0"/>
        <w:jc w:val="both"/>
        <w:rPr>
          <w:rFonts w:eastAsia="Times New Roman" w:cs="Times New Roman"/>
          <w:sz w:val="24"/>
          <w:szCs w:val="24"/>
          <w:lang w:val="en-GB" w:eastAsia="ro-RO"/>
        </w:rPr>
      </w:pPr>
    </w:p>
    <w:p w14:paraId="7499CEED" w14:textId="3A290F3E"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7.</w:t>
      </w:r>
      <w:r w:rsidRPr="00B85E4D">
        <w:rPr>
          <w:rFonts w:eastAsia="Times New Roman" w:cs="Times New Roman"/>
          <w:sz w:val="24"/>
          <w:szCs w:val="24"/>
          <w:lang w:val="en-GB" w:eastAsia="ro-RO"/>
        </w:rPr>
        <w:t xml:space="preserve"> The Regulation on disclosure requirements for banks, approved by the Decision of the Executive Board of the National Bank of Moldova No. 158/2020 (Official </w:t>
      </w:r>
      <w:r w:rsidR="004A01C4" w:rsidRPr="00B85E4D">
        <w:rPr>
          <w:rFonts w:eastAsia="Times New Roman" w:cs="Times New Roman"/>
          <w:sz w:val="24"/>
          <w:szCs w:val="24"/>
          <w:lang w:val="en-GB" w:eastAsia="ro-RO"/>
        </w:rPr>
        <w:t>Journal</w:t>
      </w:r>
      <w:r w:rsidRPr="00B85E4D">
        <w:rPr>
          <w:rFonts w:eastAsia="Times New Roman" w:cs="Times New Roman"/>
          <w:sz w:val="24"/>
          <w:szCs w:val="24"/>
          <w:lang w:val="en-GB" w:eastAsia="ro-RO"/>
        </w:rPr>
        <w:t xml:space="preserve"> of the Republic of Moldova, 2020, No. 188–192, Art. 667), shall be amended as follows:</w:t>
      </w:r>
    </w:p>
    <w:p w14:paraId="4BA4544E" w14:textId="77777777" w:rsidR="00484D83" w:rsidRPr="00B85E4D" w:rsidRDefault="00484D83" w:rsidP="00484D83">
      <w:pPr>
        <w:spacing w:after="0"/>
        <w:jc w:val="both"/>
        <w:rPr>
          <w:rFonts w:eastAsia="Times New Roman" w:cs="Times New Roman"/>
          <w:sz w:val="24"/>
          <w:szCs w:val="24"/>
          <w:lang w:val="en-GB" w:eastAsia="ro-RO"/>
        </w:rPr>
      </w:pPr>
    </w:p>
    <w:p w14:paraId="7A431810" w14:textId="5C6DA2B5"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7.1.</w:t>
      </w:r>
      <w:r w:rsidRPr="00B85E4D">
        <w:rPr>
          <w:rFonts w:eastAsia="Times New Roman" w:cs="Times New Roman"/>
          <w:sz w:val="24"/>
          <w:szCs w:val="24"/>
          <w:lang w:val="en-GB" w:eastAsia="ro-RO"/>
        </w:rPr>
        <w:t xml:space="preserve"> In paragraph 61, the </w:t>
      </w:r>
      <w:proofErr w:type="gramStart"/>
      <w:r w:rsidRPr="00B85E4D">
        <w:rPr>
          <w:rFonts w:eastAsia="Times New Roman" w:cs="Times New Roman"/>
          <w:sz w:val="24"/>
          <w:szCs w:val="24"/>
          <w:lang w:val="en-GB" w:eastAsia="ro-RO"/>
        </w:rPr>
        <w:t xml:space="preserve">text </w:t>
      </w:r>
      <w:r w:rsidR="0016795A" w:rsidRPr="00B85E4D">
        <w:rPr>
          <w:rFonts w:eastAsia="Times New Roman" w:cs="Times New Roman"/>
          <w:sz w:val="24"/>
          <w:szCs w:val="24"/>
          <w:lang w:val="en-GB" w:eastAsia="ro-RO"/>
        </w:rPr>
        <w:t>”</w:t>
      </w:r>
      <w:r w:rsidRPr="00B85E4D">
        <w:rPr>
          <w:rFonts w:eastAsia="Times New Roman" w:cs="Times New Roman"/>
          <w:sz w:val="24"/>
          <w:szCs w:val="24"/>
          <w:lang w:val="en-GB" w:eastAsia="ro-RO"/>
        </w:rPr>
        <w:t>approved</w:t>
      </w:r>
      <w:proofErr w:type="gramEnd"/>
      <w:r w:rsidRPr="00B85E4D">
        <w:rPr>
          <w:rFonts w:eastAsia="Times New Roman" w:cs="Times New Roman"/>
          <w:sz w:val="24"/>
          <w:szCs w:val="24"/>
          <w:lang w:val="en-GB" w:eastAsia="ro-RO"/>
        </w:rPr>
        <w:t xml:space="preserve"> by the Decision of the Executive Board of the National Bank of Moldova No. 102 of 16 April 2020 (hereinafter – </w:t>
      </w:r>
      <w:r w:rsidRPr="00B85E4D">
        <w:rPr>
          <w:rFonts w:eastAsia="Times New Roman" w:cs="Times New Roman"/>
          <w:i/>
          <w:iCs/>
          <w:sz w:val="24"/>
          <w:szCs w:val="24"/>
          <w:lang w:val="en-GB" w:eastAsia="ro-RO"/>
        </w:rPr>
        <w:t>Regulation No. 102/2020</w:t>
      </w:r>
      <w:r w:rsidRPr="00B85E4D">
        <w:rPr>
          <w:rFonts w:eastAsia="Times New Roman" w:cs="Times New Roman"/>
          <w:sz w:val="24"/>
          <w:szCs w:val="24"/>
          <w:lang w:val="en-GB" w:eastAsia="ro-RO"/>
        </w:rPr>
        <w:t>)</w:t>
      </w:r>
      <w:r w:rsidR="0016795A" w:rsidRPr="00B85E4D">
        <w:rPr>
          <w:rFonts w:eastAsia="Times New Roman" w:cs="Times New Roman"/>
          <w:sz w:val="24"/>
          <w:szCs w:val="24"/>
          <w:lang w:val="en-GB" w:eastAsia="ro-RO"/>
        </w:rPr>
        <w:t>”</w:t>
      </w:r>
      <w:r w:rsidRPr="00B85E4D">
        <w:rPr>
          <w:rFonts w:eastAsia="Times New Roman" w:cs="Times New Roman"/>
          <w:sz w:val="24"/>
          <w:szCs w:val="24"/>
          <w:lang w:val="en-GB" w:eastAsia="ro-RO"/>
        </w:rPr>
        <w:t xml:space="preserve"> shall be excluded;</w:t>
      </w:r>
    </w:p>
    <w:p w14:paraId="7AFF14F2" w14:textId="77777777" w:rsidR="00484D83" w:rsidRPr="00B85E4D" w:rsidRDefault="00484D83" w:rsidP="00484D83">
      <w:pPr>
        <w:spacing w:after="0"/>
        <w:jc w:val="both"/>
        <w:rPr>
          <w:rFonts w:eastAsia="Times New Roman" w:cs="Times New Roman"/>
          <w:sz w:val="24"/>
          <w:szCs w:val="24"/>
          <w:lang w:val="en-GB" w:eastAsia="ro-RO"/>
        </w:rPr>
      </w:pPr>
    </w:p>
    <w:p w14:paraId="26D380ED" w14:textId="0BE4C6CE"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7.2.</w:t>
      </w:r>
      <w:r w:rsidRPr="00B85E4D">
        <w:rPr>
          <w:rFonts w:eastAsia="Times New Roman" w:cs="Times New Roman"/>
          <w:sz w:val="24"/>
          <w:szCs w:val="24"/>
          <w:lang w:val="en-GB" w:eastAsia="ro-RO"/>
        </w:rPr>
        <w:t xml:space="preserve"> In Annex No. 12, Table 1 of the Instruction on the Standard Format, in the explanation for column No. 070, the </w:t>
      </w:r>
      <w:proofErr w:type="gramStart"/>
      <w:r w:rsidRPr="00B85E4D">
        <w:rPr>
          <w:rFonts w:eastAsia="Times New Roman" w:cs="Times New Roman"/>
          <w:sz w:val="24"/>
          <w:szCs w:val="24"/>
          <w:lang w:val="en-GB" w:eastAsia="ro-RO"/>
        </w:rPr>
        <w:t xml:space="preserve">text </w:t>
      </w:r>
      <w:r w:rsidR="0016795A" w:rsidRPr="00B85E4D">
        <w:rPr>
          <w:rFonts w:eastAsia="Times New Roman" w:cs="Times New Roman"/>
          <w:sz w:val="24"/>
          <w:szCs w:val="24"/>
          <w:lang w:val="en-GB" w:eastAsia="ro-RO"/>
        </w:rPr>
        <w:t>”</w:t>
      </w:r>
      <w:r w:rsidRPr="00B85E4D">
        <w:rPr>
          <w:rFonts w:eastAsia="Times New Roman" w:cs="Times New Roman"/>
          <w:sz w:val="24"/>
          <w:szCs w:val="24"/>
          <w:lang w:val="en-GB" w:eastAsia="ro-RO"/>
        </w:rPr>
        <w:t>Regulation</w:t>
      </w:r>
      <w:proofErr w:type="gramEnd"/>
      <w:r w:rsidRPr="00B85E4D">
        <w:rPr>
          <w:rFonts w:eastAsia="Times New Roman" w:cs="Times New Roman"/>
          <w:sz w:val="24"/>
          <w:szCs w:val="24"/>
          <w:lang w:val="en-GB" w:eastAsia="ro-RO"/>
        </w:rPr>
        <w:t xml:space="preserve"> No. 102/2020” shall be replaced with the text </w:t>
      </w:r>
      <w:r w:rsidR="0016795A" w:rsidRPr="00B85E4D">
        <w:rPr>
          <w:rFonts w:eastAsia="Times New Roman" w:cs="Times New Roman"/>
          <w:sz w:val="24"/>
          <w:szCs w:val="24"/>
          <w:lang w:val="en-GB" w:eastAsia="ro-RO"/>
        </w:rPr>
        <w:t>”</w:t>
      </w:r>
      <w:r w:rsidRPr="00B85E4D">
        <w:rPr>
          <w:rFonts w:eastAsia="Times New Roman" w:cs="Times New Roman"/>
          <w:sz w:val="24"/>
          <w:szCs w:val="24"/>
          <w:lang w:val="en-GB" w:eastAsia="ro-RO"/>
        </w:rPr>
        <w:t xml:space="preserve">Regulation </w:t>
      </w:r>
      <w:r w:rsidR="0016795A" w:rsidRPr="00B85E4D">
        <w:rPr>
          <w:rFonts w:eastAsia="Times New Roman" w:cs="Times New Roman"/>
          <w:sz w:val="24"/>
          <w:szCs w:val="24"/>
          <w:lang w:val="en-GB"/>
        </w:rPr>
        <w:t>on the treatment of counterparty credit risk for banks</w:t>
      </w:r>
      <w:r w:rsidRPr="00B85E4D">
        <w:rPr>
          <w:rFonts w:eastAsia="Times New Roman" w:cs="Times New Roman"/>
          <w:sz w:val="24"/>
          <w:szCs w:val="24"/>
          <w:lang w:val="en-GB" w:eastAsia="ro-RO"/>
        </w:rPr>
        <w:t>.</w:t>
      </w:r>
      <w:r w:rsidR="0016795A" w:rsidRPr="00B85E4D">
        <w:rPr>
          <w:rFonts w:eastAsia="Times New Roman" w:cs="Times New Roman"/>
          <w:sz w:val="24"/>
          <w:szCs w:val="24"/>
          <w:lang w:val="en-GB" w:eastAsia="ro-RO"/>
        </w:rPr>
        <w:t>”</w:t>
      </w:r>
    </w:p>
    <w:p w14:paraId="1B05C510" w14:textId="77777777" w:rsidR="00484D83" w:rsidRPr="00B85E4D" w:rsidRDefault="00484D83" w:rsidP="00484D83">
      <w:pPr>
        <w:spacing w:after="0"/>
        <w:jc w:val="both"/>
        <w:rPr>
          <w:rFonts w:eastAsia="Times New Roman" w:cs="Times New Roman"/>
          <w:sz w:val="24"/>
          <w:szCs w:val="24"/>
          <w:lang w:val="en-GB" w:eastAsia="ro-RO"/>
        </w:rPr>
      </w:pPr>
    </w:p>
    <w:p w14:paraId="2EF3263A" w14:textId="689987C3" w:rsidR="00484D83" w:rsidRPr="00B85E4D" w:rsidRDefault="00484D83" w:rsidP="00484D83">
      <w:pPr>
        <w:spacing w:after="0"/>
        <w:jc w:val="both"/>
        <w:rPr>
          <w:rFonts w:eastAsia="Times New Roman" w:cs="Times New Roman"/>
          <w:sz w:val="24"/>
          <w:szCs w:val="24"/>
          <w:lang w:val="en-GB" w:eastAsia="ro-RO"/>
        </w:rPr>
      </w:pPr>
      <w:r w:rsidRPr="00B85E4D">
        <w:rPr>
          <w:rFonts w:eastAsia="Times New Roman" w:cs="Times New Roman"/>
          <w:b/>
          <w:bCs/>
          <w:sz w:val="24"/>
          <w:szCs w:val="24"/>
          <w:lang w:val="en-GB" w:eastAsia="ro-RO"/>
        </w:rPr>
        <w:t>8.</w:t>
      </w:r>
      <w:r w:rsidRPr="00B85E4D">
        <w:rPr>
          <w:rFonts w:eastAsia="Times New Roman" w:cs="Times New Roman"/>
          <w:sz w:val="24"/>
          <w:szCs w:val="24"/>
          <w:lang w:val="en-GB" w:eastAsia="ro-RO"/>
        </w:rPr>
        <w:t xml:space="preserve"> This Decision shall be published in the Official </w:t>
      </w:r>
      <w:r w:rsidR="004A01C4" w:rsidRPr="00B85E4D">
        <w:rPr>
          <w:rFonts w:eastAsia="Times New Roman" w:cs="Times New Roman"/>
          <w:sz w:val="24"/>
          <w:szCs w:val="24"/>
          <w:lang w:val="en-GB" w:eastAsia="ro-RO"/>
        </w:rPr>
        <w:t>Journal</w:t>
      </w:r>
      <w:r w:rsidRPr="00B85E4D">
        <w:rPr>
          <w:rFonts w:eastAsia="Times New Roman" w:cs="Times New Roman"/>
          <w:sz w:val="24"/>
          <w:szCs w:val="24"/>
          <w:lang w:val="en-GB" w:eastAsia="ro-RO"/>
        </w:rPr>
        <w:t xml:space="preserve"> of the Republic of Moldova and shall enter into force on 1 October 2026.</w:t>
      </w:r>
    </w:p>
    <w:p w14:paraId="56B5AABD" w14:textId="77777777" w:rsidR="00484D83" w:rsidRPr="00B85E4D" w:rsidRDefault="00484D83" w:rsidP="001C6DBF">
      <w:pPr>
        <w:spacing w:after="0"/>
        <w:ind w:firstLine="567"/>
        <w:jc w:val="both"/>
        <w:rPr>
          <w:rFonts w:eastAsia="Times New Roman" w:cs="Times New Roman"/>
          <w:b/>
          <w:bCs/>
          <w:sz w:val="24"/>
          <w:szCs w:val="24"/>
          <w:lang w:val="en-GB" w:eastAsia="ro-RO"/>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042"/>
        <w:gridCol w:w="2196"/>
      </w:tblGrid>
      <w:tr w:rsidR="0016795A" w:rsidRPr="00B85E4D" w14:paraId="3C2BA045" w14:textId="77777777" w:rsidTr="00D71D1E">
        <w:tc>
          <w:tcPr>
            <w:tcW w:w="0" w:type="auto"/>
            <w:tcBorders>
              <w:top w:val="nil"/>
              <w:left w:val="nil"/>
              <w:bottom w:val="nil"/>
              <w:right w:val="nil"/>
            </w:tcBorders>
            <w:tcMar>
              <w:top w:w="24" w:type="dxa"/>
              <w:left w:w="48" w:type="dxa"/>
              <w:bottom w:w="24" w:type="dxa"/>
              <w:right w:w="1680" w:type="dxa"/>
            </w:tcMar>
            <w:hideMark/>
          </w:tcPr>
          <w:p w14:paraId="78BE646B" w14:textId="77777777" w:rsidR="0016795A" w:rsidRPr="00B85E4D" w:rsidRDefault="0016795A" w:rsidP="0016795A">
            <w:pPr>
              <w:spacing w:after="0"/>
              <w:rPr>
                <w:rFonts w:eastAsia="Times New Roman" w:cs="Times New Roman"/>
                <w:b/>
                <w:bCs/>
                <w:sz w:val="24"/>
                <w:szCs w:val="24"/>
                <w:lang w:val="en-GB"/>
              </w:rPr>
            </w:pPr>
            <w:r w:rsidRPr="00B85E4D">
              <w:rPr>
                <w:rFonts w:eastAsia="Times New Roman" w:cs="Times New Roman"/>
                <w:b/>
                <w:bCs/>
                <w:sz w:val="24"/>
                <w:szCs w:val="24"/>
                <w:lang w:val="en-GB"/>
              </w:rPr>
              <w:t>CHAIRMAN</w:t>
            </w:r>
          </w:p>
        </w:tc>
        <w:tc>
          <w:tcPr>
            <w:tcW w:w="0" w:type="auto"/>
            <w:tcBorders>
              <w:top w:val="nil"/>
              <w:left w:val="nil"/>
              <w:bottom w:val="nil"/>
              <w:right w:val="nil"/>
            </w:tcBorders>
            <w:tcMar>
              <w:top w:w="24" w:type="dxa"/>
              <w:left w:w="48" w:type="dxa"/>
              <w:bottom w:w="24" w:type="dxa"/>
              <w:right w:w="48" w:type="dxa"/>
            </w:tcMar>
            <w:hideMark/>
          </w:tcPr>
          <w:p w14:paraId="3B1F55CE" w14:textId="77777777" w:rsidR="0016795A" w:rsidRPr="00B85E4D" w:rsidRDefault="0016795A" w:rsidP="0016795A">
            <w:pPr>
              <w:spacing w:after="0"/>
              <w:rPr>
                <w:rFonts w:eastAsia="Times New Roman" w:cs="Times New Roman"/>
                <w:b/>
                <w:bCs/>
                <w:sz w:val="24"/>
                <w:szCs w:val="24"/>
                <w:lang w:val="en-GB"/>
              </w:rPr>
            </w:pPr>
          </w:p>
        </w:tc>
      </w:tr>
      <w:tr w:rsidR="0016795A" w:rsidRPr="00B85E4D" w14:paraId="7AE8F5E5" w14:textId="77777777" w:rsidTr="00D71D1E">
        <w:tc>
          <w:tcPr>
            <w:tcW w:w="0" w:type="auto"/>
            <w:tcBorders>
              <w:top w:val="nil"/>
              <w:left w:val="nil"/>
              <w:bottom w:val="nil"/>
              <w:right w:val="nil"/>
            </w:tcBorders>
            <w:tcMar>
              <w:top w:w="24" w:type="dxa"/>
              <w:left w:w="48" w:type="dxa"/>
              <w:bottom w:w="24" w:type="dxa"/>
              <w:right w:w="1680" w:type="dxa"/>
            </w:tcMar>
            <w:hideMark/>
          </w:tcPr>
          <w:p w14:paraId="70B04823" w14:textId="77777777" w:rsidR="0016795A" w:rsidRPr="00B85E4D" w:rsidRDefault="0016795A" w:rsidP="0016795A">
            <w:pPr>
              <w:spacing w:after="0"/>
              <w:rPr>
                <w:rFonts w:eastAsia="Times New Roman" w:cs="Times New Roman"/>
                <w:b/>
                <w:bCs/>
                <w:sz w:val="24"/>
                <w:szCs w:val="24"/>
                <w:lang w:val="en-GB"/>
              </w:rPr>
            </w:pPr>
            <w:r w:rsidRPr="00B85E4D">
              <w:rPr>
                <w:rFonts w:eastAsia="Times New Roman" w:cs="Times New Roman"/>
                <w:b/>
                <w:bCs/>
                <w:sz w:val="24"/>
                <w:szCs w:val="24"/>
                <w:lang w:val="en-GB"/>
              </w:rPr>
              <w:t>OF THE EXECUTIVE BOARD</w:t>
            </w:r>
          </w:p>
        </w:tc>
        <w:tc>
          <w:tcPr>
            <w:tcW w:w="0" w:type="auto"/>
            <w:tcBorders>
              <w:top w:val="nil"/>
              <w:left w:val="nil"/>
              <w:bottom w:val="nil"/>
              <w:right w:val="nil"/>
            </w:tcBorders>
            <w:tcMar>
              <w:top w:w="24" w:type="dxa"/>
              <w:left w:w="48" w:type="dxa"/>
              <w:bottom w:w="24" w:type="dxa"/>
              <w:right w:w="48" w:type="dxa"/>
            </w:tcMar>
            <w:hideMark/>
          </w:tcPr>
          <w:p w14:paraId="35CC5516" w14:textId="4F638B5A" w:rsidR="0016795A" w:rsidRPr="00B85E4D" w:rsidRDefault="0016795A" w:rsidP="0016795A">
            <w:pPr>
              <w:spacing w:after="0"/>
              <w:rPr>
                <w:rFonts w:eastAsia="Times New Roman" w:cs="Times New Roman"/>
                <w:b/>
                <w:bCs/>
                <w:sz w:val="24"/>
                <w:szCs w:val="24"/>
                <w:lang w:val="en-GB"/>
              </w:rPr>
            </w:pPr>
            <w:r w:rsidRPr="00B85E4D">
              <w:rPr>
                <w:rFonts w:eastAsia="Times New Roman" w:cs="Times New Roman"/>
                <w:b/>
                <w:bCs/>
                <w:sz w:val="24"/>
                <w:szCs w:val="24"/>
                <w:lang w:val="en-GB"/>
              </w:rPr>
              <w:t>Anca-Dana DRAGU</w:t>
            </w:r>
          </w:p>
        </w:tc>
      </w:tr>
      <w:tr w:rsidR="0016795A" w:rsidRPr="00B85E4D" w14:paraId="4897AFD2" w14:textId="77777777" w:rsidTr="00D71D1E">
        <w:tc>
          <w:tcPr>
            <w:tcW w:w="0" w:type="auto"/>
            <w:gridSpan w:val="2"/>
            <w:tcBorders>
              <w:top w:val="nil"/>
              <w:left w:val="nil"/>
              <w:bottom w:val="nil"/>
              <w:right w:val="nil"/>
            </w:tcBorders>
            <w:tcMar>
              <w:top w:w="120" w:type="dxa"/>
              <w:left w:w="48" w:type="dxa"/>
              <w:bottom w:w="24" w:type="dxa"/>
              <w:right w:w="48" w:type="dxa"/>
            </w:tcMar>
            <w:hideMark/>
          </w:tcPr>
          <w:p w14:paraId="562E4847" w14:textId="1BDAB49B" w:rsidR="0016795A" w:rsidRPr="00B85E4D" w:rsidRDefault="0016795A" w:rsidP="0016795A">
            <w:pPr>
              <w:spacing w:after="0"/>
              <w:rPr>
                <w:rFonts w:eastAsia="Times New Roman" w:cs="Times New Roman"/>
                <w:b/>
                <w:bCs/>
                <w:sz w:val="24"/>
                <w:szCs w:val="24"/>
                <w:lang w:val="en-GB"/>
              </w:rPr>
            </w:pPr>
            <w:r w:rsidRPr="00B85E4D">
              <w:rPr>
                <w:rFonts w:eastAsia="Times New Roman" w:cs="Times New Roman"/>
                <w:b/>
                <w:bCs/>
                <w:sz w:val="24"/>
                <w:szCs w:val="24"/>
                <w:lang w:val="en-GB"/>
              </w:rPr>
              <w:t xml:space="preserve">No 220. </w:t>
            </w:r>
            <w:proofErr w:type="spellStart"/>
            <w:r w:rsidRPr="00B85E4D">
              <w:rPr>
                <w:rFonts w:eastAsia="Times New Roman" w:cs="Times New Roman"/>
                <w:b/>
                <w:bCs/>
                <w:sz w:val="24"/>
                <w:szCs w:val="24"/>
                <w:lang w:val="en-GB"/>
              </w:rPr>
              <w:t>Chişinău</w:t>
            </w:r>
            <w:proofErr w:type="spellEnd"/>
            <w:r w:rsidRPr="00B85E4D">
              <w:rPr>
                <w:rFonts w:eastAsia="Times New Roman" w:cs="Times New Roman"/>
                <w:b/>
                <w:bCs/>
                <w:sz w:val="24"/>
                <w:szCs w:val="24"/>
                <w:lang w:val="en-GB"/>
              </w:rPr>
              <w:t>, September 25, 2025</w:t>
            </w:r>
          </w:p>
        </w:tc>
      </w:tr>
    </w:tbl>
    <w:p w14:paraId="7E40F7EE" w14:textId="77777777" w:rsidR="0016795A" w:rsidRPr="00B85E4D" w:rsidRDefault="0016795A" w:rsidP="0016795A">
      <w:pPr>
        <w:spacing w:after="0"/>
        <w:ind w:firstLine="567"/>
        <w:jc w:val="both"/>
        <w:rPr>
          <w:rFonts w:eastAsia="Times New Roman" w:cs="Times New Roman"/>
          <w:sz w:val="24"/>
          <w:szCs w:val="24"/>
          <w:lang w:val="en-GB"/>
        </w:rPr>
      </w:pPr>
      <w:r w:rsidRPr="00B85E4D">
        <w:rPr>
          <w:rFonts w:eastAsia="Times New Roman" w:cs="Times New Roman"/>
          <w:sz w:val="24"/>
          <w:szCs w:val="24"/>
          <w:lang w:val="en-GB"/>
        </w:rPr>
        <w:t> </w:t>
      </w:r>
    </w:p>
    <w:p w14:paraId="2159784D" w14:textId="77777777" w:rsidR="00484D83" w:rsidRPr="00B85E4D" w:rsidRDefault="00484D83" w:rsidP="0016795A">
      <w:pPr>
        <w:spacing w:after="0"/>
        <w:jc w:val="both"/>
        <w:rPr>
          <w:rFonts w:eastAsia="Times New Roman" w:cs="Times New Roman"/>
          <w:sz w:val="24"/>
          <w:szCs w:val="24"/>
          <w:lang w:val="en-GB"/>
        </w:rPr>
      </w:pPr>
    </w:p>
    <w:p w14:paraId="26E43C0A" w14:textId="77777777" w:rsidR="001C6DBF" w:rsidRPr="00B85E4D" w:rsidRDefault="001C6DBF" w:rsidP="001C6DBF">
      <w:pPr>
        <w:spacing w:after="0"/>
        <w:ind w:firstLine="567"/>
        <w:jc w:val="both"/>
        <w:rPr>
          <w:rFonts w:eastAsia="Times New Roman" w:cs="Times New Roman"/>
          <w:sz w:val="24"/>
          <w:szCs w:val="24"/>
          <w:lang w:val="en-GB"/>
        </w:rPr>
      </w:pPr>
    </w:p>
    <w:p w14:paraId="0F5CF180" w14:textId="77777777" w:rsidR="001C6DBF" w:rsidRPr="00B85E4D" w:rsidRDefault="001C6DBF" w:rsidP="001C6DBF">
      <w:pPr>
        <w:spacing w:after="0"/>
        <w:ind w:firstLine="567"/>
        <w:jc w:val="both"/>
        <w:rPr>
          <w:rFonts w:eastAsia="Times New Roman" w:cs="Times New Roman"/>
          <w:sz w:val="24"/>
          <w:szCs w:val="24"/>
          <w:lang w:val="en-GB"/>
        </w:rPr>
      </w:pPr>
      <w:r w:rsidRPr="00B85E4D">
        <w:rPr>
          <w:rFonts w:eastAsia="Times New Roman" w:cs="Times New Roman"/>
          <w:sz w:val="24"/>
          <w:szCs w:val="24"/>
          <w:lang w:val="en-GB"/>
        </w:rPr>
        <w:t> </w:t>
      </w:r>
    </w:p>
    <w:p w14:paraId="0D3297A5" w14:textId="77777777" w:rsidR="001C6DBF" w:rsidRPr="00B85E4D" w:rsidRDefault="001C6DBF" w:rsidP="009B5A0A">
      <w:pPr>
        <w:spacing w:after="0"/>
        <w:jc w:val="center"/>
        <w:rPr>
          <w:rFonts w:cs="Times New Roman"/>
          <w:b/>
          <w:bCs/>
          <w:sz w:val="24"/>
          <w:szCs w:val="24"/>
          <w:lang w:val="en-GB"/>
        </w:rPr>
      </w:pPr>
    </w:p>
    <w:p w14:paraId="666FF306" w14:textId="77777777" w:rsidR="001C6DBF" w:rsidRPr="00B85E4D" w:rsidRDefault="001C6DBF" w:rsidP="009B5A0A">
      <w:pPr>
        <w:spacing w:after="0"/>
        <w:jc w:val="center"/>
        <w:rPr>
          <w:rFonts w:cs="Times New Roman"/>
          <w:b/>
          <w:bCs/>
          <w:sz w:val="24"/>
          <w:szCs w:val="24"/>
          <w:lang w:val="en-GB"/>
        </w:rPr>
      </w:pPr>
    </w:p>
    <w:p w14:paraId="1A6D9FEE" w14:textId="77777777" w:rsidR="0016795A" w:rsidRPr="00B85E4D" w:rsidRDefault="0016795A" w:rsidP="009B5A0A">
      <w:pPr>
        <w:spacing w:after="0"/>
        <w:jc w:val="center"/>
        <w:rPr>
          <w:rFonts w:cs="Times New Roman"/>
          <w:b/>
          <w:bCs/>
          <w:sz w:val="24"/>
          <w:szCs w:val="24"/>
          <w:lang w:val="en-GB"/>
        </w:rPr>
      </w:pPr>
    </w:p>
    <w:p w14:paraId="7C41439C" w14:textId="77777777" w:rsidR="0016795A" w:rsidRPr="00B85E4D" w:rsidRDefault="0016795A" w:rsidP="009B5A0A">
      <w:pPr>
        <w:spacing w:after="0"/>
        <w:jc w:val="center"/>
        <w:rPr>
          <w:rFonts w:cs="Times New Roman"/>
          <w:b/>
          <w:bCs/>
          <w:sz w:val="24"/>
          <w:szCs w:val="24"/>
          <w:lang w:val="en-GB"/>
        </w:rPr>
      </w:pPr>
    </w:p>
    <w:p w14:paraId="18AA5A81" w14:textId="77777777" w:rsidR="0016795A" w:rsidRPr="00B85E4D" w:rsidRDefault="0016795A" w:rsidP="009B5A0A">
      <w:pPr>
        <w:spacing w:after="0"/>
        <w:jc w:val="center"/>
        <w:rPr>
          <w:rFonts w:cs="Times New Roman"/>
          <w:b/>
          <w:bCs/>
          <w:sz w:val="24"/>
          <w:szCs w:val="24"/>
          <w:lang w:val="en-GB"/>
        </w:rPr>
      </w:pPr>
    </w:p>
    <w:p w14:paraId="0010E26B" w14:textId="77777777" w:rsidR="0016795A" w:rsidRPr="00B85E4D" w:rsidRDefault="0016795A" w:rsidP="009B5A0A">
      <w:pPr>
        <w:spacing w:after="0"/>
        <w:jc w:val="center"/>
        <w:rPr>
          <w:rFonts w:cs="Times New Roman"/>
          <w:b/>
          <w:bCs/>
          <w:sz w:val="24"/>
          <w:szCs w:val="24"/>
          <w:lang w:val="en-GB"/>
        </w:rPr>
      </w:pPr>
    </w:p>
    <w:p w14:paraId="5A5A2855" w14:textId="77777777" w:rsidR="0016795A" w:rsidRPr="00B85E4D" w:rsidRDefault="0016795A" w:rsidP="009B5A0A">
      <w:pPr>
        <w:spacing w:after="0"/>
        <w:jc w:val="center"/>
        <w:rPr>
          <w:rFonts w:cs="Times New Roman"/>
          <w:b/>
          <w:bCs/>
          <w:sz w:val="24"/>
          <w:szCs w:val="24"/>
          <w:lang w:val="en-GB"/>
        </w:rPr>
      </w:pPr>
    </w:p>
    <w:p w14:paraId="19A17827" w14:textId="77777777" w:rsidR="0016795A" w:rsidRPr="00B85E4D" w:rsidRDefault="0016795A" w:rsidP="009B5A0A">
      <w:pPr>
        <w:spacing w:after="0"/>
        <w:jc w:val="center"/>
        <w:rPr>
          <w:rFonts w:cs="Times New Roman"/>
          <w:b/>
          <w:bCs/>
          <w:sz w:val="24"/>
          <w:szCs w:val="24"/>
          <w:lang w:val="en-GB"/>
        </w:rPr>
      </w:pPr>
    </w:p>
    <w:p w14:paraId="131C11FD" w14:textId="77777777" w:rsidR="0016795A" w:rsidRPr="00B85E4D" w:rsidRDefault="0016795A" w:rsidP="009B5A0A">
      <w:pPr>
        <w:spacing w:after="0"/>
        <w:jc w:val="center"/>
        <w:rPr>
          <w:rFonts w:cs="Times New Roman"/>
          <w:b/>
          <w:bCs/>
          <w:sz w:val="24"/>
          <w:szCs w:val="24"/>
          <w:lang w:val="en-GB"/>
        </w:rPr>
      </w:pPr>
    </w:p>
    <w:p w14:paraId="6BD2A210" w14:textId="77777777" w:rsidR="0016795A" w:rsidRPr="00B85E4D" w:rsidRDefault="0016795A" w:rsidP="009B5A0A">
      <w:pPr>
        <w:spacing w:after="0"/>
        <w:jc w:val="center"/>
        <w:rPr>
          <w:rFonts w:cs="Times New Roman"/>
          <w:b/>
          <w:bCs/>
          <w:sz w:val="24"/>
          <w:szCs w:val="24"/>
          <w:lang w:val="en-GB"/>
        </w:rPr>
      </w:pPr>
    </w:p>
    <w:p w14:paraId="3BB165A8" w14:textId="77777777" w:rsidR="0016795A" w:rsidRPr="00B85E4D" w:rsidRDefault="0016795A" w:rsidP="009B5A0A">
      <w:pPr>
        <w:spacing w:after="0"/>
        <w:jc w:val="center"/>
        <w:rPr>
          <w:rFonts w:cs="Times New Roman"/>
          <w:b/>
          <w:bCs/>
          <w:sz w:val="24"/>
          <w:szCs w:val="24"/>
          <w:lang w:val="en-GB"/>
        </w:rPr>
      </w:pPr>
    </w:p>
    <w:p w14:paraId="4C2669EB" w14:textId="77777777" w:rsidR="0016795A" w:rsidRPr="00B85E4D" w:rsidRDefault="0016795A" w:rsidP="009B5A0A">
      <w:pPr>
        <w:spacing w:after="0"/>
        <w:jc w:val="center"/>
        <w:rPr>
          <w:rFonts w:cs="Times New Roman"/>
          <w:b/>
          <w:bCs/>
          <w:sz w:val="24"/>
          <w:szCs w:val="24"/>
          <w:lang w:val="en-GB"/>
        </w:rPr>
      </w:pPr>
    </w:p>
    <w:p w14:paraId="1B84DE5E" w14:textId="77777777" w:rsidR="0016795A" w:rsidRPr="00B85E4D" w:rsidRDefault="0016795A" w:rsidP="009B5A0A">
      <w:pPr>
        <w:spacing w:after="0"/>
        <w:jc w:val="center"/>
        <w:rPr>
          <w:rFonts w:cs="Times New Roman"/>
          <w:b/>
          <w:bCs/>
          <w:sz w:val="24"/>
          <w:szCs w:val="24"/>
          <w:lang w:val="en-GB"/>
        </w:rPr>
      </w:pPr>
    </w:p>
    <w:p w14:paraId="458AC123" w14:textId="77777777" w:rsidR="0016795A" w:rsidRPr="00B85E4D" w:rsidRDefault="0016795A" w:rsidP="0016795A">
      <w:pPr>
        <w:spacing w:after="0"/>
        <w:jc w:val="right"/>
        <w:rPr>
          <w:rFonts w:eastAsia="Times New Roman" w:cs="Times New Roman"/>
          <w:sz w:val="24"/>
          <w:szCs w:val="24"/>
          <w:lang w:val="en-GB"/>
        </w:rPr>
      </w:pPr>
      <w:r w:rsidRPr="00B85E4D">
        <w:rPr>
          <w:rFonts w:eastAsia="Times New Roman" w:cs="Times New Roman"/>
          <w:sz w:val="24"/>
          <w:szCs w:val="24"/>
          <w:lang w:val="en-GB"/>
        </w:rPr>
        <w:lastRenderedPageBreak/>
        <w:t>Approved</w:t>
      </w:r>
    </w:p>
    <w:p w14:paraId="772025BE" w14:textId="77777777" w:rsidR="0016795A" w:rsidRPr="00B85E4D" w:rsidRDefault="0016795A" w:rsidP="0016795A">
      <w:pPr>
        <w:spacing w:after="0"/>
        <w:jc w:val="right"/>
        <w:rPr>
          <w:rFonts w:eastAsia="Times New Roman" w:cs="Times New Roman"/>
          <w:sz w:val="24"/>
          <w:szCs w:val="24"/>
          <w:lang w:val="en-GB"/>
        </w:rPr>
      </w:pPr>
      <w:r w:rsidRPr="00B85E4D">
        <w:rPr>
          <w:rFonts w:eastAsia="Times New Roman" w:cs="Times New Roman"/>
          <w:sz w:val="24"/>
          <w:szCs w:val="24"/>
          <w:lang w:val="en-GB"/>
        </w:rPr>
        <w:t>by the Decision of the Executive Board</w:t>
      </w:r>
    </w:p>
    <w:p w14:paraId="2754D58C" w14:textId="77777777" w:rsidR="0016795A" w:rsidRPr="00B85E4D" w:rsidRDefault="0016795A" w:rsidP="0016795A">
      <w:pPr>
        <w:spacing w:after="0"/>
        <w:jc w:val="right"/>
        <w:rPr>
          <w:rFonts w:eastAsia="Times New Roman" w:cs="Times New Roman"/>
          <w:sz w:val="24"/>
          <w:szCs w:val="24"/>
          <w:lang w:val="en-GB"/>
        </w:rPr>
      </w:pPr>
      <w:r w:rsidRPr="00B85E4D">
        <w:rPr>
          <w:rFonts w:eastAsia="Times New Roman" w:cs="Times New Roman"/>
          <w:sz w:val="24"/>
          <w:szCs w:val="24"/>
          <w:lang w:val="en-GB"/>
        </w:rPr>
        <w:t>of the National Bank of Moldova</w:t>
      </w:r>
    </w:p>
    <w:p w14:paraId="4640F884" w14:textId="469037C2" w:rsidR="0016795A" w:rsidRPr="00B85E4D" w:rsidRDefault="0016795A" w:rsidP="0016795A">
      <w:pPr>
        <w:spacing w:after="0"/>
        <w:jc w:val="right"/>
        <w:rPr>
          <w:rFonts w:cs="Times New Roman"/>
          <w:b/>
          <w:bCs/>
          <w:sz w:val="24"/>
          <w:szCs w:val="24"/>
          <w:lang w:val="en-GB"/>
        </w:rPr>
      </w:pPr>
      <w:r w:rsidRPr="00B85E4D">
        <w:rPr>
          <w:rFonts w:eastAsia="Times New Roman" w:cs="Times New Roman"/>
          <w:sz w:val="24"/>
          <w:szCs w:val="24"/>
          <w:lang w:val="en-GB"/>
        </w:rPr>
        <w:t xml:space="preserve"> No 220 of 25</w:t>
      </w:r>
      <w:r w:rsidR="00560D5A">
        <w:rPr>
          <w:rFonts w:eastAsia="Times New Roman" w:cs="Times New Roman"/>
          <w:sz w:val="24"/>
          <w:szCs w:val="24"/>
          <w:lang w:val="en-GB"/>
        </w:rPr>
        <w:t xml:space="preserve"> </w:t>
      </w:r>
      <w:r w:rsidR="00560D5A" w:rsidRPr="00B85E4D">
        <w:rPr>
          <w:rFonts w:eastAsia="Times New Roman" w:cs="Times New Roman"/>
          <w:sz w:val="24"/>
          <w:szCs w:val="24"/>
          <w:lang w:val="en-GB"/>
        </w:rPr>
        <w:t>September</w:t>
      </w:r>
      <w:r w:rsidRPr="00B85E4D">
        <w:rPr>
          <w:rFonts w:eastAsia="Times New Roman" w:cs="Times New Roman"/>
          <w:sz w:val="24"/>
          <w:szCs w:val="24"/>
          <w:lang w:val="en-GB"/>
        </w:rPr>
        <w:t xml:space="preserve"> 2025</w:t>
      </w:r>
    </w:p>
    <w:p w14:paraId="5B68D605" w14:textId="77777777" w:rsidR="001C6DBF" w:rsidRPr="00B85E4D" w:rsidRDefault="001C6DBF" w:rsidP="009B5A0A">
      <w:pPr>
        <w:spacing w:after="0"/>
        <w:jc w:val="center"/>
        <w:rPr>
          <w:rFonts w:cs="Times New Roman"/>
          <w:b/>
          <w:bCs/>
          <w:sz w:val="24"/>
          <w:szCs w:val="24"/>
          <w:lang w:val="en-GB"/>
        </w:rPr>
      </w:pPr>
    </w:p>
    <w:p w14:paraId="727E20F4" w14:textId="77777777" w:rsidR="0016795A" w:rsidRPr="00B85E4D" w:rsidRDefault="0016795A" w:rsidP="0016795A">
      <w:pPr>
        <w:spacing w:after="0"/>
        <w:rPr>
          <w:rFonts w:eastAsia="Times New Roman" w:cs="Times New Roman"/>
          <w:sz w:val="24"/>
          <w:szCs w:val="24"/>
          <w:lang w:val="en-GB"/>
        </w:rPr>
      </w:pPr>
    </w:p>
    <w:p w14:paraId="1711B907" w14:textId="33FDFAA4" w:rsidR="0016795A" w:rsidRPr="00B85E4D" w:rsidRDefault="0016795A" w:rsidP="0016795A">
      <w:pPr>
        <w:spacing w:after="0"/>
        <w:jc w:val="center"/>
        <w:rPr>
          <w:rFonts w:eastAsia="Times New Roman" w:cs="Times New Roman"/>
          <w:b/>
          <w:bCs/>
          <w:sz w:val="24"/>
          <w:szCs w:val="24"/>
          <w:lang w:val="en-GB"/>
        </w:rPr>
      </w:pPr>
      <w:r w:rsidRPr="00B85E4D">
        <w:rPr>
          <w:rFonts w:eastAsia="Times New Roman" w:cs="Times New Roman"/>
          <w:b/>
          <w:bCs/>
          <w:sz w:val="24"/>
          <w:szCs w:val="24"/>
          <w:lang w:val="en-GB"/>
        </w:rPr>
        <w:t xml:space="preserve">REGULATION on the treatment </w:t>
      </w:r>
    </w:p>
    <w:p w14:paraId="1DF40F2C" w14:textId="31854377" w:rsidR="0016795A" w:rsidRPr="00B85E4D" w:rsidRDefault="0016795A" w:rsidP="0016795A">
      <w:pPr>
        <w:spacing w:after="0"/>
        <w:jc w:val="center"/>
        <w:rPr>
          <w:rFonts w:eastAsia="Times New Roman"/>
          <w:b/>
          <w:bCs/>
          <w:sz w:val="24"/>
          <w:szCs w:val="24"/>
          <w:lang w:val="en-GB"/>
        </w:rPr>
      </w:pPr>
      <w:r w:rsidRPr="00B85E4D">
        <w:rPr>
          <w:rFonts w:eastAsia="Times New Roman" w:cs="Times New Roman"/>
          <w:b/>
          <w:bCs/>
          <w:sz w:val="24"/>
          <w:szCs w:val="24"/>
          <w:lang w:val="en-GB"/>
        </w:rPr>
        <w:t xml:space="preserve">of counterparty credit risk for banks </w:t>
      </w:r>
    </w:p>
    <w:p w14:paraId="33AD3687" w14:textId="77777777" w:rsidR="0016795A" w:rsidRPr="00B85E4D" w:rsidRDefault="0016795A" w:rsidP="0016795A">
      <w:pPr>
        <w:spacing w:after="0"/>
        <w:rPr>
          <w:rFonts w:eastAsia="Times New Roman" w:cs="Times New Roman"/>
          <w:sz w:val="24"/>
          <w:szCs w:val="24"/>
          <w:lang w:val="en-GB"/>
        </w:rPr>
      </w:pPr>
    </w:p>
    <w:p w14:paraId="37EE1A65" w14:textId="77777777" w:rsidR="0016795A" w:rsidRPr="00B85E4D" w:rsidRDefault="0016795A" w:rsidP="0016795A">
      <w:pPr>
        <w:spacing w:after="0"/>
        <w:rPr>
          <w:rFonts w:eastAsia="Times New Roman" w:cs="Times New Roman"/>
          <w:sz w:val="24"/>
          <w:szCs w:val="24"/>
          <w:lang w:val="en-GB"/>
        </w:rPr>
      </w:pPr>
    </w:p>
    <w:p w14:paraId="5F35B71F" w14:textId="1310E615" w:rsidR="0016795A" w:rsidRPr="00B85E4D" w:rsidRDefault="0016795A" w:rsidP="004A01C4">
      <w:pPr>
        <w:spacing w:after="0"/>
        <w:ind w:firstLine="708"/>
        <w:jc w:val="both"/>
        <w:rPr>
          <w:rFonts w:cs="Times New Roman"/>
          <w:b/>
          <w:bCs/>
          <w:sz w:val="24"/>
          <w:szCs w:val="24"/>
          <w:lang w:val="en-GB"/>
        </w:rPr>
      </w:pPr>
      <w:r w:rsidRPr="00B85E4D">
        <w:rPr>
          <w:rFonts w:eastAsia="Times New Roman" w:cs="Times New Roman"/>
          <w:sz w:val="24"/>
          <w:szCs w:val="24"/>
          <w:lang w:val="en-GB"/>
        </w:rPr>
        <w:t xml:space="preserve">This Regulation transposes </w:t>
      </w:r>
      <w:r w:rsidRPr="00B85E4D">
        <w:rPr>
          <w:rFonts w:eastAsia="Times New Roman" w:cs="Times New Roman"/>
          <w:sz w:val="24"/>
          <w:szCs w:val="24"/>
          <w:lang w:val="en-GB" w:eastAsia="ro-MD"/>
        </w:rPr>
        <w:t xml:space="preserve">art.4 (1), para.34; art.271; art.272 (para. 1 - 9, 11 - 12, 12a, 17 - 22, 24 - 26); art.273 (1), (3) - (9); art.273a; art.273b; art.274; art.275; art.276; art.277 (1) – (4); art.277a; art.278; art.279; art.279a (1), letters (a), (c) </w:t>
      </w:r>
      <w:r w:rsidR="004A01C4" w:rsidRPr="00B85E4D">
        <w:rPr>
          <w:rFonts w:eastAsia="Times New Roman" w:cs="Times New Roman"/>
          <w:sz w:val="24"/>
          <w:szCs w:val="24"/>
          <w:lang w:val="en-GB" w:eastAsia="ro-MD"/>
        </w:rPr>
        <w:t>and</w:t>
      </w:r>
      <w:r w:rsidRPr="00B85E4D">
        <w:rPr>
          <w:rFonts w:eastAsia="Times New Roman" w:cs="Times New Roman"/>
          <w:sz w:val="24"/>
          <w:szCs w:val="24"/>
          <w:lang w:val="en-GB" w:eastAsia="ro-MD"/>
        </w:rPr>
        <w:t xml:space="preserve"> (2); art.279b; art.279c (1), letter (a) and (2); art.280; art.280a; art.280b; art.280c; art.280d; art.280e; art.280f; art.281 (1) and (2), letters (a) - (b), (d) – (m); art.282 (1) – (2), (3), letter</w:t>
      </w:r>
      <w:r w:rsidR="004A01C4" w:rsidRPr="00B85E4D">
        <w:rPr>
          <w:rFonts w:eastAsia="Times New Roman" w:cs="Times New Roman"/>
          <w:sz w:val="24"/>
          <w:szCs w:val="24"/>
          <w:lang w:val="en-GB" w:eastAsia="ro-MD"/>
        </w:rPr>
        <w:t>s</w:t>
      </w:r>
      <w:r w:rsidRPr="00B85E4D">
        <w:rPr>
          <w:rFonts w:eastAsia="Times New Roman" w:cs="Times New Roman"/>
          <w:sz w:val="24"/>
          <w:szCs w:val="24"/>
          <w:lang w:val="en-GB" w:eastAsia="ro-MD"/>
        </w:rPr>
        <w:t xml:space="preserve"> (b) and (4); art.291 (1) – (2), (4) – (6); art.295, letter (a) and (b); art.296 (2) and (3) </w:t>
      </w:r>
      <w:r w:rsidR="004A01C4" w:rsidRPr="00B85E4D">
        <w:rPr>
          <w:rFonts w:eastAsia="Times New Roman" w:cs="Times New Roman"/>
          <w:sz w:val="24"/>
          <w:szCs w:val="24"/>
          <w:lang w:val="en-GB" w:eastAsia="ro-MD"/>
        </w:rPr>
        <w:t>first sentence</w:t>
      </w:r>
      <w:r w:rsidRPr="00B85E4D">
        <w:rPr>
          <w:rFonts w:eastAsia="Times New Roman" w:cs="Times New Roman"/>
          <w:sz w:val="24"/>
          <w:szCs w:val="24"/>
          <w:lang w:val="en-GB" w:eastAsia="ro-MD"/>
        </w:rPr>
        <w:t>; art.297 (1) – (3); art.298; art.299 (2), letters (b) – (e), (g) – (h); art.300 (para. 1 – 5, para.7 – 11); art.301– 311</w:t>
      </w:r>
      <w:r w:rsidR="004A01C4" w:rsidRPr="00B85E4D">
        <w:rPr>
          <w:rFonts w:eastAsia="Times New Roman" w:cs="Times New Roman"/>
          <w:sz w:val="24"/>
          <w:szCs w:val="24"/>
          <w:lang w:val="en-GB" w:eastAsia="ro-MD"/>
        </w:rPr>
        <w:t xml:space="preserve"> and Articles 301–311 of Regulation (EU) No. 575/2013 of the European Parliament and of the Council of 26 June 2013 on prudential requirements for credit institutions and amending Regulation (EU) No. 648/2012, published in the Official Journal of the European Union L 176 of 27 June 2013, CELEX: 32013R0575, as last amended by Regulation (EU) 2023/2869 of the European Parliament and of the Council of 13 December 2023.</w:t>
      </w:r>
    </w:p>
    <w:p w14:paraId="7C09238E" w14:textId="77777777" w:rsidR="0016795A" w:rsidRPr="00B85E4D" w:rsidRDefault="0016795A" w:rsidP="009B5A0A">
      <w:pPr>
        <w:spacing w:after="0"/>
        <w:jc w:val="center"/>
        <w:rPr>
          <w:rFonts w:cs="Times New Roman"/>
          <w:b/>
          <w:bCs/>
          <w:sz w:val="24"/>
          <w:szCs w:val="24"/>
          <w:lang w:val="en-GB"/>
        </w:rPr>
      </w:pPr>
    </w:p>
    <w:p w14:paraId="36AAA34D" w14:textId="05A5E697" w:rsidR="009B5A0A" w:rsidRPr="00B85E4D" w:rsidRDefault="009B5A0A" w:rsidP="009B5A0A">
      <w:pPr>
        <w:spacing w:after="0"/>
        <w:jc w:val="center"/>
        <w:rPr>
          <w:rFonts w:cs="Times New Roman"/>
          <w:b/>
          <w:bCs/>
          <w:sz w:val="24"/>
          <w:szCs w:val="24"/>
          <w:lang w:val="en-GB"/>
        </w:rPr>
      </w:pPr>
      <w:r w:rsidRPr="00B85E4D">
        <w:rPr>
          <w:rFonts w:cs="Times New Roman"/>
          <w:b/>
          <w:bCs/>
          <w:sz w:val="24"/>
          <w:szCs w:val="24"/>
          <w:lang w:val="en-GB"/>
        </w:rPr>
        <w:t>CHAPTER I</w:t>
      </w:r>
    </w:p>
    <w:p w14:paraId="145B9720" w14:textId="77777777" w:rsidR="009B5A0A" w:rsidRPr="00B85E4D" w:rsidRDefault="009B5A0A" w:rsidP="009B5A0A">
      <w:pPr>
        <w:spacing w:after="0"/>
        <w:jc w:val="center"/>
        <w:rPr>
          <w:rFonts w:cs="Times New Roman"/>
          <w:b/>
          <w:bCs/>
          <w:sz w:val="24"/>
          <w:szCs w:val="24"/>
          <w:lang w:val="en-GB"/>
        </w:rPr>
      </w:pPr>
      <w:r w:rsidRPr="00B85E4D">
        <w:rPr>
          <w:rFonts w:cs="Times New Roman"/>
          <w:b/>
          <w:bCs/>
          <w:sz w:val="24"/>
          <w:szCs w:val="24"/>
          <w:lang w:val="en-GB"/>
        </w:rPr>
        <w:t>General Provisions</w:t>
      </w:r>
    </w:p>
    <w:p w14:paraId="39B8A89E" w14:textId="77777777" w:rsidR="009B5A0A" w:rsidRPr="00B85E4D" w:rsidRDefault="009B5A0A" w:rsidP="009B5A0A">
      <w:pPr>
        <w:spacing w:after="0"/>
        <w:jc w:val="center"/>
        <w:rPr>
          <w:rFonts w:cs="Times New Roman"/>
          <w:b/>
          <w:bCs/>
          <w:sz w:val="24"/>
          <w:szCs w:val="24"/>
          <w:lang w:val="en-GB"/>
        </w:rPr>
      </w:pPr>
    </w:p>
    <w:p w14:paraId="4FC6A54B" w14:textId="34123644" w:rsidR="009B5A0A" w:rsidRPr="00B85E4D" w:rsidRDefault="009B5A0A" w:rsidP="009B5A0A">
      <w:pPr>
        <w:spacing w:after="0"/>
        <w:jc w:val="center"/>
        <w:rPr>
          <w:rFonts w:cs="Times New Roman"/>
          <w:i/>
          <w:iCs/>
          <w:sz w:val="24"/>
          <w:szCs w:val="24"/>
          <w:lang w:val="en-GB"/>
        </w:rPr>
      </w:pPr>
      <w:r w:rsidRPr="00B85E4D">
        <w:rPr>
          <w:rFonts w:cs="Times New Roman"/>
          <w:i/>
          <w:iCs/>
          <w:sz w:val="24"/>
          <w:szCs w:val="24"/>
          <w:lang w:val="en-GB"/>
        </w:rPr>
        <w:t>Section 1</w:t>
      </w:r>
    </w:p>
    <w:p w14:paraId="6D591646" w14:textId="77777777" w:rsidR="009B5A0A" w:rsidRPr="00B85E4D" w:rsidRDefault="009B5A0A" w:rsidP="009B5A0A">
      <w:pPr>
        <w:spacing w:after="0"/>
        <w:jc w:val="center"/>
        <w:rPr>
          <w:rFonts w:cs="Times New Roman"/>
          <w:b/>
          <w:bCs/>
          <w:sz w:val="24"/>
          <w:szCs w:val="24"/>
          <w:lang w:val="en-GB"/>
        </w:rPr>
      </w:pPr>
      <w:r w:rsidRPr="00B85E4D">
        <w:rPr>
          <w:rFonts w:cs="Times New Roman"/>
          <w:b/>
          <w:bCs/>
          <w:sz w:val="24"/>
          <w:szCs w:val="24"/>
          <w:lang w:val="en-GB"/>
        </w:rPr>
        <w:t>Scope and Definitions</w:t>
      </w:r>
    </w:p>
    <w:p w14:paraId="0DB85D24" w14:textId="77777777" w:rsidR="009B5A0A" w:rsidRPr="00B85E4D" w:rsidRDefault="009B5A0A" w:rsidP="009B5A0A">
      <w:pPr>
        <w:spacing w:after="0"/>
        <w:jc w:val="both"/>
        <w:rPr>
          <w:rFonts w:cs="Times New Roman"/>
          <w:sz w:val="24"/>
          <w:szCs w:val="24"/>
          <w:lang w:val="en-GB"/>
        </w:rPr>
      </w:pPr>
    </w:p>
    <w:p w14:paraId="74D9DC28" w14:textId="52AA38D2" w:rsidR="009B5A0A" w:rsidRPr="00B85E4D" w:rsidRDefault="009B5A0A" w:rsidP="004A01C4">
      <w:pPr>
        <w:spacing w:after="0"/>
        <w:ind w:firstLine="708"/>
        <w:jc w:val="both"/>
        <w:rPr>
          <w:rFonts w:cs="Times New Roman"/>
          <w:sz w:val="24"/>
          <w:szCs w:val="24"/>
          <w:lang w:val="en-GB"/>
        </w:rPr>
      </w:pPr>
      <w:r w:rsidRPr="00B85E4D">
        <w:rPr>
          <w:rFonts w:cs="Times New Roman"/>
          <w:b/>
          <w:bCs/>
          <w:sz w:val="24"/>
          <w:szCs w:val="24"/>
          <w:lang w:val="en-GB"/>
        </w:rPr>
        <w:t>1.</w:t>
      </w:r>
      <w:r w:rsidRPr="00B85E4D">
        <w:rPr>
          <w:rFonts w:cs="Times New Roman"/>
          <w:sz w:val="24"/>
          <w:szCs w:val="24"/>
          <w:lang w:val="en-GB"/>
        </w:rPr>
        <w:t xml:space="preserve"> Th</w:t>
      </w:r>
      <w:r w:rsidR="00B101C8" w:rsidRPr="00B85E4D">
        <w:rPr>
          <w:rFonts w:cs="Times New Roman"/>
          <w:sz w:val="24"/>
          <w:szCs w:val="24"/>
          <w:lang w:val="en-GB"/>
        </w:rPr>
        <w:t>e</w:t>
      </w:r>
      <w:r w:rsidRPr="00B85E4D">
        <w:rPr>
          <w:rFonts w:cs="Times New Roman"/>
          <w:sz w:val="24"/>
          <w:szCs w:val="24"/>
          <w:lang w:val="en-GB"/>
        </w:rPr>
        <w:t xml:space="preserve"> Regulation on the treatment of counterparty credit risk for banks (hereinafter referred to as - the Regulation) </w:t>
      </w:r>
      <w:r w:rsidR="001C6DBF" w:rsidRPr="00B85E4D">
        <w:rPr>
          <w:rFonts w:cs="Times New Roman"/>
          <w:sz w:val="24"/>
          <w:szCs w:val="24"/>
          <w:lang w:val="en-GB"/>
        </w:rPr>
        <w:t>sets out</w:t>
      </w:r>
      <w:r w:rsidRPr="00B85E4D">
        <w:rPr>
          <w:rFonts w:cs="Times New Roman"/>
          <w:sz w:val="24"/>
          <w:szCs w:val="24"/>
          <w:lang w:val="en-GB"/>
        </w:rPr>
        <w:t xml:space="preserve"> the </w:t>
      </w:r>
      <w:r w:rsidR="004A01C4" w:rsidRPr="00B85E4D">
        <w:rPr>
          <w:rFonts w:cs="Times New Roman"/>
          <w:sz w:val="24"/>
          <w:szCs w:val="24"/>
          <w:lang w:val="en-GB"/>
        </w:rPr>
        <w:t>method</w:t>
      </w:r>
      <w:r w:rsidRPr="00B85E4D">
        <w:rPr>
          <w:rFonts w:cs="Times New Roman"/>
          <w:sz w:val="24"/>
          <w:szCs w:val="24"/>
          <w:lang w:val="en-GB"/>
        </w:rPr>
        <w:t>ologies for determining own funds requirements to cover counterparty credit risk, namely:</w:t>
      </w:r>
    </w:p>
    <w:p w14:paraId="64DFDF91" w14:textId="03408D9F" w:rsidR="009B5A0A" w:rsidRPr="00B85E4D" w:rsidRDefault="009B5A0A" w:rsidP="004A01C4">
      <w:pPr>
        <w:spacing w:after="0"/>
        <w:ind w:firstLine="708"/>
        <w:jc w:val="both"/>
        <w:rPr>
          <w:rFonts w:cs="Times New Roman"/>
          <w:sz w:val="24"/>
          <w:szCs w:val="24"/>
          <w:lang w:val="en-GB"/>
        </w:rPr>
      </w:pPr>
      <w:r w:rsidRPr="00B85E4D">
        <w:rPr>
          <w:rFonts w:cs="Times New Roman"/>
          <w:sz w:val="24"/>
          <w:szCs w:val="24"/>
          <w:lang w:val="en-GB"/>
        </w:rPr>
        <w:t xml:space="preserve">1.1. the rules </w:t>
      </w:r>
      <w:r w:rsidR="001C6DBF" w:rsidRPr="00B85E4D">
        <w:rPr>
          <w:rFonts w:cs="Times New Roman"/>
          <w:sz w:val="24"/>
          <w:szCs w:val="24"/>
          <w:lang w:val="en-GB"/>
        </w:rPr>
        <w:t>on</w:t>
      </w:r>
      <w:r w:rsidRPr="00B85E4D">
        <w:rPr>
          <w:rFonts w:cs="Times New Roman"/>
          <w:sz w:val="24"/>
          <w:szCs w:val="24"/>
          <w:lang w:val="en-GB"/>
        </w:rPr>
        <w:t xml:space="preserve"> the treatment of counterparty credit risk in respect of derivative financial instruments and long settlement </w:t>
      </w:r>
      <w:proofErr w:type="gramStart"/>
      <w:r w:rsidRPr="00B85E4D">
        <w:rPr>
          <w:rFonts w:cs="Times New Roman"/>
          <w:sz w:val="24"/>
          <w:szCs w:val="24"/>
          <w:lang w:val="en-GB"/>
        </w:rPr>
        <w:t>transactions;</w:t>
      </w:r>
      <w:proofErr w:type="gramEnd"/>
    </w:p>
    <w:p w14:paraId="7B90B363" w14:textId="77777777" w:rsidR="009B5A0A" w:rsidRPr="00B85E4D" w:rsidRDefault="009B5A0A" w:rsidP="004A01C4">
      <w:pPr>
        <w:spacing w:after="0"/>
        <w:ind w:firstLine="708"/>
        <w:jc w:val="both"/>
        <w:rPr>
          <w:rFonts w:cs="Times New Roman"/>
          <w:sz w:val="24"/>
          <w:szCs w:val="24"/>
          <w:lang w:val="en-GB"/>
        </w:rPr>
      </w:pPr>
      <w:r w:rsidRPr="00B85E4D">
        <w:rPr>
          <w:rFonts w:cs="Times New Roman"/>
          <w:sz w:val="24"/>
          <w:szCs w:val="24"/>
          <w:lang w:val="en-GB"/>
        </w:rPr>
        <w:t>1.2. the principles that banks shall observe in calculating risk-weighted exposure amounts for counterparty credit risk of items included in the trading book.</w:t>
      </w:r>
    </w:p>
    <w:p w14:paraId="7805D6FD" w14:textId="44DC154A" w:rsidR="009B5A0A" w:rsidRPr="00B85E4D" w:rsidRDefault="009B5A0A" w:rsidP="004A01C4">
      <w:pPr>
        <w:spacing w:after="0"/>
        <w:ind w:firstLine="708"/>
        <w:jc w:val="both"/>
        <w:rPr>
          <w:rFonts w:cs="Times New Roman"/>
          <w:sz w:val="24"/>
          <w:szCs w:val="24"/>
          <w:lang w:val="en-GB"/>
        </w:rPr>
      </w:pPr>
      <w:r w:rsidRPr="00B85E4D">
        <w:rPr>
          <w:rFonts w:cs="Times New Roman"/>
          <w:b/>
          <w:bCs/>
          <w:sz w:val="24"/>
          <w:szCs w:val="24"/>
          <w:lang w:val="en-GB"/>
        </w:rPr>
        <w:t>2.</w:t>
      </w:r>
      <w:r w:rsidRPr="00B85E4D">
        <w:rPr>
          <w:rFonts w:cs="Times New Roman"/>
          <w:sz w:val="24"/>
          <w:szCs w:val="24"/>
          <w:lang w:val="en-GB"/>
        </w:rPr>
        <w:t xml:space="preserve"> This Regulation shall apply to banks having their head office in the Republic of Moldova, as well as to branches in the Republic of Moldova of banks from other states</w:t>
      </w:r>
      <w:r w:rsidR="001C6DBF" w:rsidRPr="00B85E4D">
        <w:rPr>
          <w:rFonts w:cs="Times New Roman"/>
          <w:sz w:val="24"/>
          <w:szCs w:val="24"/>
          <w:lang w:val="en-GB"/>
        </w:rPr>
        <w:t>, which are</w:t>
      </w:r>
      <w:r w:rsidRPr="00B85E4D">
        <w:rPr>
          <w:rFonts w:cs="Times New Roman"/>
          <w:sz w:val="24"/>
          <w:szCs w:val="24"/>
          <w:lang w:val="en-GB"/>
        </w:rPr>
        <w:t xml:space="preserve"> licensed by the National Bank of Moldova, hereinafter referred to as banks.</w:t>
      </w:r>
    </w:p>
    <w:p w14:paraId="3F1EC675" w14:textId="0462D824" w:rsidR="009B5A0A" w:rsidRPr="00B85E4D" w:rsidRDefault="009B5A0A" w:rsidP="004A01C4">
      <w:pPr>
        <w:spacing w:after="0"/>
        <w:ind w:firstLine="708"/>
        <w:jc w:val="both"/>
        <w:rPr>
          <w:rFonts w:cs="Times New Roman"/>
          <w:sz w:val="24"/>
          <w:szCs w:val="24"/>
          <w:lang w:val="en-GB"/>
        </w:rPr>
      </w:pPr>
      <w:r w:rsidRPr="00B85E4D">
        <w:rPr>
          <w:rFonts w:cs="Times New Roman"/>
          <w:b/>
          <w:bCs/>
          <w:sz w:val="24"/>
          <w:szCs w:val="24"/>
          <w:lang w:val="en-GB"/>
        </w:rPr>
        <w:t>3.</w:t>
      </w:r>
      <w:r w:rsidRPr="00B85E4D">
        <w:rPr>
          <w:rFonts w:cs="Times New Roman"/>
          <w:sz w:val="24"/>
          <w:szCs w:val="24"/>
          <w:lang w:val="en-GB"/>
        </w:rPr>
        <w:t xml:space="preserve"> For the purposes of this Regulation, the following terms shall have the meanings set out below:</w:t>
      </w:r>
    </w:p>
    <w:p w14:paraId="789CB66C" w14:textId="3977647B"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452B3D" w:rsidRPr="00B85E4D">
        <w:rPr>
          <w:rFonts w:cs="Times New Roman"/>
          <w:i/>
          <w:iCs/>
          <w:sz w:val="24"/>
          <w:szCs w:val="24"/>
          <w:lang w:val="en-GB"/>
        </w:rPr>
        <w:t>ontractual c</w:t>
      </w:r>
      <w:r w:rsidR="009B5A0A" w:rsidRPr="00B85E4D">
        <w:rPr>
          <w:rFonts w:cs="Times New Roman"/>
          <w:i/>
          <w:iCs/>
          <w:sz w:val="24"/>
          <w:szCs w:val="24"/>
          <w:lang w:val="en-GB"/>
        </w:rPr>
        <w:t>ross-product netting agreement</w:t>
      </w:r>
      <w:r w:rsidR="009B5A0A" w:rsidRPr="00B85E4D">
        <w:rPr>
          <w:rFonts w:cs="Times New Roman"/>
          <w:sz w:val="24"/>
          <w:szCs w:val="24"/>
          <w:lang w:val="en-GB"/>
        </w:rPr>
        <w:t xml:space="preserve"> – a bilateral contractual agreement between a bank and a counterparty that creates a single legal obligation (by means of netting of the covered transactions) covering all bilateral master agreements and all transactions included in the </w:t>
      </w:r>
      <w:proofErr w:type="gramStart"/>
      <w:r w:rsidR="009B5A0A" w:rsidRPr="00B85E4D">
        <w:rPr>
          <w:rFonts w:cs="Times New Roman"/>
          <w:sz w:val="24"/>
          <w:szCs w:val="24"/>
          <w:lang w:val="en-GB"/>
        </w:rPr>
        <w:t>agreement;</w:t>
      </w:r>
      <w:proofErr w:type="gramEnd"/>
    </w:p>
    <w:p w14:paraId="78E3F5D0" w14:textId="79079AA0"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9B5A0A" w:rsidRPr="00B85E4D">
        <w:rPr>
          <w:rFonts w:cs="Times New Roman"/>
          <w:i/>
          <w:iCs/>
          <w:sz w:val="24"/>
          <w:szCs w:val="24"/>
          <w:lang w:val="en-GB"/>
        </w:rPr>
        <w:t>ounterparty</w:t>
      </w:r>
      <w:r w:rsidR="009B5A0A" w:rsidRPr="00B85E4D">
        <w:rPr>
          <w:rFonts w:cs="Times New Roman"/>
          <w:sz w:val="24"/>
          <w:szCs w:val="24"/>
          <w:lang w:val="en-GB"/>
        </w:rPr>
        <w:t xml:space="preserve"> – any legal or natural person participating in a netting agreement and having the legal capacity to enter into such an </w:t>
      </w:r>
      <w:proofErr w:type="gramStart"/>
      <w:r w:rsidR="009B5A0A" w:rsidRPr="00B85E4D">
        <w:rPr>
          <w:rFonts w:cs="Times New Roman"/>
          <w:sz w:val="24"/>
          <w:szCs w:val="24"/>
          <w:lang w:val="en-GB"/>
        </w:rPr>
        <w:t>agreement;</w:t>
      </w:r>
      <w:proofErr w:type="gramEnd"/>
    </w:p>
    <w:p w14:paraId="0A9F4B17" w14:textId="7D84ED50"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9B5A0A" w:rsidRPr="00B85E4D">
        <w:rPr>
          <w:rFonts w:cs="Times New Roman"/>
          <w:i/>
          <w:iCs/>
          <w:sz w:val="24"/>
          <w:szCs w:val="24"/>
          <w:lang w:val="en-GB"/>
        </w:rPr>
        <w:t xml:space="preserve">entral counterparty (CCP) </w:t>
      </w:r>
      <w:r w:rsidR="009B5A0A" w:rsidRPr="00B85E4D">
        <w:rPr>
          <w:rFonts w:cs="Times New Roman"/>
          <w:sz w:val="24"/>
          <w:szCs w:val="24"/>
          <w:lang w:val="en-GB"/>
        </w:rPr>
        <w:t xml:space="preserve">– a legal person that interposes itself between the counterparties to contracts traded on one or more financial markets, thereby becoming the buyer to every seller and the seller to every </w:t>
      </w:r>
      <w:proofErr w:type="gramStart"/>
      <w:r w:rsidR="009B5A0A" w:rsidRPr="00B85E4D">
        <w:rPr>
          <w:rFonts w:cs="Times New Roman"/>
          <w:sz w:val="24"/>
          <w:szCs w:val="24"/>
          <w:lang w:val="en-GB"/>
        </w:rPr>
        <w:t>buyer;</w:t>
      </w:r>
      <w:proofErr w:type="gramEnd"/>
    </w:p>
    <w:p w14:paraId="3A7AC240" w14:textId="2A46F4F0"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lastRenderedPageBreak/>
        <w:t>q</w:t>
      </w:r>
      <w:r w:rsidR="009B5A0A" w:rsidRPr="00B85E4D">
        <w:rPr>
          <w:rFonts w:cs="Times New Roman"/>
          <w:i/>
          <w:iCs/>
          <w:sz w:val="24"/>
          <w:szCs w:val="24"/>
          <w:lang w:val="en-GB"/>
        </w:rPr>
        <w:t>ualifying central counterparty (QCCP)</w:t>
      </w:r>
      <w:r w:rsidR="009B5A0A" w:rsidRPr="00B85E4D">
        <w:rPr>
          <w:rFonts w:cs="Times New Roman"/>
          <w:sz w:val="24"/>
          <w:szCs w:val="24"/>
          <w:lang w:val="en-GB"/>
        </w:rPr>
        <w:t xml:space="preserve"> – a central counterparty that has been authorised by a competent authority of the EU Member State in which it is established or in a third country of the </w:t>
      </w:r>
      <w:proofErr w:type="gramStart"/>
      <w:r w:rsidR="009B5A0A" w:rsidRPr="00B85E4D">
        <w:rPr>
          <w:rFonts w:cs="Times New Roman"/>
          <w:sz w:val="24"/>
          <w:szCs w:val="24"/>
          <w:lang w:val="en-GB"/>
        </w:rPr>
        <w:t>EU;</w:t>
      </w:r>
      <w:proofErr w:type="gramEnd"/>
    </w:p>
    <w:p w14:paraId="122EF0CC" w14:textId="5B10DA8F"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9B5A0A" w:rsidRPr="00B85E4D">
        <w:rPr>
          <w:rFonts w:cs="Times New Roman"/>
          <w:i/>
          <w:iCs/>
          <w:sz w:val="24"/>
          <w:szCs w:val="24"/>
          <w:lang w:val="en-GB"/>
        </w:rPr>
        <w:t>lient</w:t>
      </w:r>
      <w:r w:rsidR="009B5A0A" w:rsidRPr="00B85E4D">
        <w:rPr>
          <w:rFonts w:cs="Times New Roman"/>
          <w:sz w:val="24"/>
          <w:szCs w:val="24"/>
          <w:lang w:val="en-GB"/>
        </w:rPr>
        <w:t xml:space="preserve"> – </w:t>
      </w:r>
      <w:r w:rsidR="006C5FCB" w:rsidRPr="00B85E4D">
        <w:rPr>
          <w:rFonts w:cs="Times New Roman"/>
          <w:sz w:val="24"/>
          <w:szCs w:val="24"/>
          <w:lang w:val="en-GB"/>
        </w:rPr>
        <w:t xml:space="preserve">an undertaking with a contractual relationship with a clearing member of a CCP which enables that undertaking to clear its transactions with that </w:t>
      </w:r>
      <w:proofErr w:type="gramStart"/>
      <w:r w:rsidR="006C5FCB" w:rsidRPr="00B85E4D">
        <w:rPr>
          <w:rFonts w:cs="Times New Roman"/>
          <w:sz w:val="24"/>
          <w:szCs w:val="24"/>
          <w:lang w:val="en-GB"/>
        </w:rPr>
        <w:t>CCP</w:t>
      </w:r>
      <w:r w:rsidR="009B5A0A" w:rsidRPr="00B85E4D">
        <w:rPr>
          <w:rFonts w:cs="Times New Roman"/>
          <w:sz w:val="24"/>
          <w:szCs w:val="24"/>
          <w:lang w:val="en-GB"/>
        </w:rPr>
        <w:t>;</w:t>
      </w:r>
      <w:proofErr w:type="gramEnd"/>
    </w:p>
    <w:p w14:paraId="633AF7A3" w14:textId="250E03C8"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h</w:t>
      </w:r>
      <w:r w:rsidR="009B5A0A" w:rsidRPr="00B85E4D">
        <w:rPr>
          <w:rFonts w:cs="Times New Roman"/>
          <w:i/>
          <w:iCs/>
          <w:sz w:val="24"/>
          <w:szCs w:val="24"/>
          <w:lang w:val="en-GB"/>
        </w:rPr>
        <w:t>igher-level client</w:t>
      </w:r>
      <w:r w:rsidR="009B5A0A" w:rsidRPr="00B85E4D">
        <w:rPr>
          <w:rFonts w:cs="Times New Roman"/>
          <w:sz w:val="24"/>
          <w:szCs w:val="24"/>
          <w:lang w:val="en-GB"/>
        </w:rPr>
        <w:t xml:space="preserve"> – an entity provid</w:t>
      </w:r>
      <w:r w:rsidR="00452B3D" w:rsidRPr="00B85E4D">
        <w:rPr>
          <w:rFonts w:cs="Times New Roman"/>
          <w:sz w:val="24"/>
          <w:szCs w:val="24"/>
          <w:lang w:val="en-GB"/>
        </w:rPr>
        <w:t>ing</w:t>
      </w:r>
      <w:r w:rsidR="009B5A0A" w:rsidRPr="00B85E4D">
        <w:rPr>
          <w:rFonts w:cs="Times New Roman"/>
          <w:sz w:val="24"/>
          <w:szCs w:val="24"/>
          <w:lang w:val="en-GB"/>
        </w:rPr>
        <w:t xml:space="preserve"> clearing services to a lower-level </w:t>
      </w:r>
      <w:proofErr w:type="gramStart"/>
      <w:r w:rsidR="009B5A0A" w:rsidRPr="00B85E4D">
        <w:rPr>
          <w:rFonts w:cs="Times New Roman"/>
          <w:sz w:val="24"/>
          <w:szCs w:val="24"/>
          <w:lang w:val="en-GB"/>
        </w:rPr>
        <w:t>client;</w:t>
      </w:r>
      <w:proofErr w:type="gramEnd"/>
    </w:p>
    <w:p w14:paraId="3EC1571B" w14:textId="7CF87985"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l</w:t>
      </w:r>
      <w:r w:rsidR="009B5A0A" w:rsidRPr="00B85E4D">
        <w:rPr>
          <w:rFonts w:cs="Times New Roman"/>
          <w:i/>
          <w:iCs/>
          <w:sz w:val="24"/>
          <w:szCs w:val="24"/>
          <w:lang w:val="en-GB"/>
        </w:rPr>
        <w:t>ower-level client</w:t>
      </w:r>
      <w:r w:rsidR="009B5A0A" w:rsidRPr="00B85E4D">
        <w:rPr>
          <w:rFonts w:cs="Times New Roman"/>
          <w:sz w:val="24"/>
          <w:szCs w:val="24"/>
          <w:lang w:val="en-GB"/>
        </w:rPr>
        <w:t xml:space="preserve"> – an entity </w:t>
      </w:r>
      <w:r w:rsidR="00B101C8" w:rsidRPr="00B85E4D">
        <w:rPr>
          <w:rFonts w:cs="Times New Roman"/>
          <w:sz w:val="24"/>
          <w:szCs w:val="24"/>
          <w:lang w:val="en-GB"/>
        </w:rPr>
        <w:t>accessing</w:t>
      </w:r>
      <w:r w:rsidR="009B5A0A" w:rsidRPr="00B85E4D">
        <w:rPr>
          <w:rFonts w:cs="Times New Roman"/>
          <w:sz w:val="24"/>
          <w:szCs w:val="24"/>
          <w:lang w:val="en-GB"/>
        </w:rPr>
        <w:t xml:space="preserve"> the services of a CCP through a higher-level </w:t>
      </w:r>
      <w:proofErr w:type="gramStart"/>
      <w:r w:rsidR="009B5A0A" w:rsidRPr="00B85E4D">
        <w:rPr>
          <w:rFonts w:cs="Times New Roman"/>
          <w:sz w:val="24"/>
          <w:szCs w:val="24"/>
          <w:lang w:val="en-GB"/>
        </w:rPr>
        <w:t>client;</w:t>
      </w:r>
      <w:proofErr w:type="gramEnd"/>
    </w:p>
    <w:p w14:paraId="32DD9762" w14:textId="2F72C71A"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m</w:t>
      </w:r>
      <w:r w:rsidR="009B5A0A" w:rsidRPr="00B85E4D">
        <w:rPr>
          <w:rFonts w:cs="Times New Roman"/>
          <w:i/>
          <w:iCs/>
          <w:sz w:val="24"/>
          <w:szCs w:val="24"/>
          <w:lang w:val="en-GB"/>
        </w:rPr>
        <w:t>argin agreement</w:t>
      </w:r>
      <w:r w:rsidR="009B5A0A" w:rsidRPr="00B85E4D">
        <w:rPr>
          <w:rFonts w:cs="Times New Roman"/>
          <w:sz w:val="24"/>
          <w:szCs w:val="24"/>
          <w:lang w:val="en-GB"/>
        </w:rPr>
        <w:t xml:space="preserve"> –</w:t>
      </w:r>
      <w:r w:rsidR="00452B3D" w:rsidRPr="00B85E4D">
        <w:rPr>
          <w:rFonts w:cs="Times New Roman"/>
          <w:sz w:val="24"/>
          <w:szCs w:val="24"/>
          <w:lang w:val="en-GB"/>
        </w:rPr>
        <w:t xml:space="preserve">an agreement or provisions of an agreement under which one counterparty must supply collateral to a second counterparty when an exposure of that second counterparty to the first counterparty exceeds a specified </w:t>
      </w:r>
      <w:proofErr w:type="gramStart"/>
      <w:r w:rsidR="00452B3D" w:rsidRPr="00B85E4D">
        <w:rPr>
          <w:rFonts w:cs="Times New Roman"/>
          <w:sz w:val="24"/>
          <w:szCs w:val="24"/>
          <w:lang w:val="en-GB"/>
        </w:rPr>
        <w:t>level;</w:t>
      </w:r>
      <w:proofErr w:type="gramEnd"/>
    </w:p>
    <w:p w14:paraId="7A0565F0" w14:textId="1B8B94F5"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u</w:t>
      </w:r>
      <w:r w:rsidR="009B5A0A" w:rsidRPr="00B85E4D">
        <w:rPr>
          <w:rFonts w:cs="Times New Roman"/>
          <w:i/>
          <w:iCs/>
          <w:sz w:val="24"/>
          <w:szCs w:val="24"/>
          <w:lang w:val="en-GB"/>
        </w:rPr>
        <w:t>nfunded contribution to a default fund</w:t>
      </w:r>
      <w:r w:rsidR="009B5A0A" w:rsidRPr="00B85E4D">
        <w:rPr>
          <w:rFonts w:cs="Times New Roman"/>
          <w:sz w:val="24"/>
          <w:szCs w:val="24"/>
          <w:lang w:val="en-GB"/>
        </w:rPr>
        <w:t xml:space="preserve"> –</w:t>
      </w:r>
      <w:r w:rsidR="00452B3D" w:rsidRPr="00B85E4D">
        <w:rPr>
          <w:rFonts w:cs="Times New Roman"/>
          <w:sz w:val="24"/>
          <w:szCs w:val="24"/>
          <w:lang w:val="en-GB"/>
        </w:rPr>
        <w:t xml:space="preserve">a contribution that </w:t>
      </w:r>
      <w:r w:rsidR="00865CE4" w:rsidRPr="00B85E4D">
        <w:rPr>
          <w:rFonts w:cs="Times New Roman"/>
          <w:sz w:val="24"/>
          <w:szCs w:val="24"/>
          <w:lang w:val="en-GB"/>
        </w:rPr>
        <w:t>a bank</w:t>
      </w:r>
      <w:r w:rsidR="00452B3D" w:rsidRPr="00B85E4D">
        <w:rPr>
          <w:rFonts w:cs="Times New Roman"/>
          <w:sz w:val="24"/>
          <w:szCs w:val="24"/>
          <w:lang w:val="en-GB"/>
        </w:rPr>
        <w:t xml:space="preserve"> that acts as a clearing member has contractually committed to provide to a CCP after the CCP has depleted its default fund to cover the losses it incurred following the default of one or more of its clearing </w:t>
      </w:r>
      <w:proofErr w:type="gramStart"/>
      <w:r w:rsidR="00452B3D" w:rsidRPr="00B85E4D">
        <w:rPr>
          <w:rFonts w:cs="Times New Roman"/>
          <w:sz w:val="24"/>
          <w:szCs w:val="24"/>
          <w:lang w:val="en-GB"/>
        </w:rPr>
        <w:t>members;</w:t>
      </w:r>
      <w:proofErr w:type="gramEnd"/>
    </w:p>
    <w:p w14:paraId="62071C8F" w14:textId="7614B21A"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9B5A0A" w:rsidRPr="00B85E4D">
        <w:rPr>
          <w:rFonts w:cs="Times New Roman"/>
          <w:i/>
          <w:iCs/>
          <w:sz w:val="24"/>
          <w:szCs w:val="24"/>
          <w:lang w:val="en-GB"/>
        </w:rPr>
        <w:t>ross-product netting</w:t>
      </w:r>
      <w:r w:rsidR="009B5A0A" w:rsidRPr="00B85E4D">
        <w:rPr>
          <w:rFonts w:cs="Times New Roman"/>
          <w:sz w:val="24"/>
          <w:szCs w:val="24"/>
          <w:lang w:val="en-GB"/>
        </w:rPr>
        <w:t xml:space="preserve"> –</w:t>
      </w:r>
      <w:r w:rsidR="007F615F" w:rsidRPr="00B85E4D">
        <w:rPr>
          <w:rFonts w:cs="Times New Roman"/>
          <w:sz w:val="24"/>
          <w:szCs w:val="24"/>
          <w:lang w:val="en-GB"/>
        </w:rPr>
        <w:t xml:space="preserve">the inclusion of transactions of different product categories within the same netting set pursuant to the cross-product netting rules set out in this </w:t>
      </w:r>
      <w:proofErr w:type="gramStart"/>
      <w:r w:rsidR="009B5A0A" w:rsidRPr="00B85E4D">
        <w:rPr>
          <w:rFonts w:cs="Times New Roman"/>
          <w:sz w:val="24"/>
          <w:szCs w:val="24"/>
          <w:lang w:val="en-GB"/>
        </w:rPr>
        <w:t>Regulation;</w:t>
      </w:r>
      <w:proofErr w:type="gramEnd"/>
    </w:p>
    <w:p w14:paraId="29E26D1D" w14:textId="3B97E028"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t</w:t>
      </w:r>
      <w:r w:rsidR="009B5A0A" w:rsidRPr="00B85E4D">
        <w:rPr>
          <w:rFonts w:cs="Times New Roman"/>
          <w:i/>
          <w:iCs/>
          <w:sz w:val="24"/>
          <w:szCs w:val="24"/>
          <w:lang w:val="en-GB"/>
        </w:rPr>
        <w:t>rade exposure</w:t>
      </w:r>
      <w:r w:rsidR="009B5A0A" w:rsidRPr="00B85E4D">
        <w:rPr>
          <w:rFonts w:cs="Times New Roman"/>
          <w:sz w:val="24"/>
          <w:szCs w:val="24"/>
          <w:lang w:val="en-GB"/>
        </w:rPr>
        <w:t xml:space="preserve"> – a current exposure, including variation margin due </w:t>
      </w:r>
      <w:r w:rsidR="007F615F" w:rsidRPr="00B85E4D">
        <w:rPr>
          <w:rFonts w:cs="Times New Roman"/>
          <w:sz w:val="24"/>
          <w:szCs w:val="24"/>
          <w:lang w:val="en-GB"/>
        </w:rPr>
        <w:t>to the</w:t>
      </w:r>
      <w:r w:rsidR="009B5A0A" w:rsidRPr="00B85E4D">
        <w:rPr>
          <w:rFonts w:cs="Times New Roman"/>
          <w:sz w:val="24"/>
          <w:szCs w:val="24"/>
          <w:lang w:val="en-GB"/>
        </w:rPr>
        <w:t xml:space="preserve"> clearing member but not yet received, and any potential future exposure of a clearing member or a client to a CCP arising from the contracts and transactions listed in point 125, as well as the initial </w:t>
      </w:r>
      <w:proofErr w:type="gramStart"/>
      <w:r w:rsidR="009B5A0A" w:rsidRPr="00B85E4D">
        <w:rPr>
          <w:rFonts w:cs="Times New Roman"/>
          <w:sz w:val="24"/>
          <w:szCs w:val="24"/>
          <w:lang w:val="en-GB"/>
        </w:rPr>
        <w:t>margin;</w:t>
      </w:r>
      <w:proofErr w:type="gramEnd"/>
    </w:p>
    <w:p w14:paraId="45E65206" w14:textId="4680133F"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b</w:t>
      </w:r>
      <w:r w:rsidR="007F615F" w:rsidRPr="00B85E4D">
        <w:rPr>
          <w:rFonts w:cs="Times New Roman"/>
          <w:i/>
          <w:iCs/>
          <w:sz w:val="24"/>
          <w:szCs w:val="24"/>
          <w:lang w:val="en-GB"/>
        </w:rPr>
        <w:t>ankruptcy remote</w:t>
      </w:r>
      <w:r w:rsidR="009B5A0A" w:rsidRPr="00B85E4D">
        <w:rPr>
          <w:rFonts w:cs="Times New Roman"/>
          <w:sz w:val="24"/>
          <w:szCs w:val="24"/>
          <w:lang w:val="en-GB"/>
        </w:rPr>
        <w:t xml:space="preserve"> – </w:t>
      </w:r>
      <w:r w:rsidR="007F615F" w:rsidRPr="00B85E4D">
        <w:rPr>
          <w:rFonts w:cs="Times New Roman"/>
          <w:sz w:val="24"/>
          <w:szCs w:val="24"/>
          <w:lang w:val="en-GB"/>
        </w:rPr>
        <w:t>in relation to client assets, means that effective arrangements exist which ensure that those assets will not be available to the creditors of a CCP or of a clearing member in the event of the insolvency of that CCP or clearing member respectively, or that the assets will not be available to the clearing member to cover losses it incurred following the default of a client or clients other than those that provided those assets;</w:t>
      </w:r>
    </w:p>
    <w:p w14:paraId="2FE59BA1" w14:textId="55E4E8FA"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9B5A0A" w:rsidRPr="00B85E4D">
        <w:rPr>
          <w:rFonts w:cs="Times New Roman"/>
          <w:i/>
          <w:iCs/>
          <w:sz w:val="24"/>
          <w:szCs w:val="24"/>
          <w:lang w:val="en-GB"/>
        </w:rPr>
        <w:t>learing member</w:t>
      </w:r>
      <w:r w:rsidR="009B5A0A" w:rsidRPr="00B85E4D">
        <w:rPr>
          <w:rFonts w:cs="Times New Roman"/>
          <w:sz w:val="24"/>
          <w:szCs w:val="24"/>
          <w:lang w:val="en-GB"/>
        </w:rPr>
        <w:t xml:space="preserve"> – </w:t>
      </w:r>
      <w:r w:rsidR="006C5FCB" w:rsidRPr="00B85E4D">
        <w:rPr>
          <w:rFonts w:cs="Times New Roman"/>
          <w:sz w:val="24"/>
          <w:szCs w:val="24"/>
          <w:lang w:val="en-GB"/>
        </w:rPr>
        <w:t>an undertaking which</w:t>
      </w:r>
      <w:r w:rsidR="009B5A0A" w:rsidRPr="00B85E4D">
        <w:rPr>
          <w:rFonts w:cs="Times New Roman"/>
          <w:sz w:val="24"/>
          <w:szCs w:val="24"/>
          <w:lang w:val="en-GB"/>
        </w:rPr>
        <w:t xml:space="preserve"> participat</w:t>
      </w:r>
      <w:r w:rsidR="006C5FCB" w:rsidRPr="00B85E4D">
        <w:rPr>
          <w:rFonts w:cs="Times New Roman"/>
          <w:sz w:val="24"/>
          <w:szCs w:val="24"/>
          <w:lang w:val="en-GB"/>
        </w:rPr>
        <w:t>es</w:t>
      </w:r>
      <w:r w:rsidR="009B5A0A" w:rsidRPr="00B85E4D">
        <w:rPr>
          <w:rFonts w:cs="Times New Roman"/>
          <w:sz w:val="24"/>
          <w:szCs w:val="24"/>
          <w:lang w:val="en-GB"/>
        </w:rPr>
        <w:t xml:space="preserve"> in a </w:t>
      </w:r>
      <w:proofErr w:type="gramStart"/>
      <w:r w:rsidR="009B5A0A" w:rsidRPr="00B85E4D">
        <w:rPr>
          <w:rFonts w:cs="Times New Roman"/>
          <w:sz w:val="24"/>
          <w:szCs w:val="24"/>
          <w:lang w:val="en-GB"/>
        </w:rPr>
        <w:t>CCP</w:t>
      </w:r>
      <w:proofErr w:type="gramEnd"/>
      <w:r w:rsidR="009B5A0A" w:rsidRPr="00B85E4D">
        <w:rPr>
          <w:rFonts w:cs="Times New Roman"/>
          <w:sz w:val="24"/>
          <w:szCs w:val="24"/>
          <w:lang w:val="en-GB"/>
        </w:rPr>
        <w:t xml:space="preserve"> and </w:t>
      </w:r>
      <w:r w:rsidR="006C5FCB" w:rsidRPr="00B85E4D">
        <w:rPr>
          <w:rFonts w:cs="Times New Roman"/>
          <w:sz w:val="24"/>
          <w:szCs w:val="24"/>
          <w:lang w:val="en-GB"/>
        </w:rPr>
        <w:t xml:space="preserve">which is </w:t>
      </w:r>
      <w:r w:rsidR="009B5A0A" w:rsidRPr="00B85E4D">
        <w:rPr>
          <w:rFonts w:cs="Times New Roman"/>
          <w:sz w:val="24"/>
          <w:szCs w:val="24"/>
          <w:lang w:val="en-GB"/>
        </w:rPr>
        <w:t xml:space="preserve">responsible for </w:t>
      </w:r>
      <w:r w:rsidR="006C5FCB" w:rsidRPr="00B85E4D">
        <w:rPr>
          <w:rFonts w:cs="Times New Roman"/>
          <w:sz w:val="24"/>
          <w:szCs w:val="24"/>
          <w:lang w:val="en-GB"/>
        </w:rPr>
        <w:t>discharging the</w:t>
      </w:r>
      <w:r w:rsidR="009B5A0A" w:rsidRPr="00B85E4D">
        <w:rPr>
          <w:rFonts w:cs="Times New Roman"/>
          <w:sz w:val="24"/>
          <w:szCs w:val="24"/>
          <w:lang w:val="en-GB"/>
        </w:rPr>
        <w:t xml:space="preserve"> financial obligations arising from </w:t>
      </w:r>
      <w:r w:rsidR="006C5FCB" w:rsidRPr="00B85E4D">
        <w:rPr>
          <w:rFonts w:cs="Times New Roman"/>
          <w:sz w:val="24"/>
          <w:szCs w:val="24"/>
          <w:lang w:val="en-GB"/>
        </w:rPr>
        <w:t>that</w:t>
      </w:r>
      <w:r w:rsidR="009B5A0A" w:rsidRPr="00B85E4D">
        <w:rPr>
          <w:rFonts w:cs="Times New Roman"/>
          <w:sz w:val="24"/>
          <w:szCs w:val="24"/>
          <w:lang w:val="en-GB"/>
        </w:rPr>
        <w:t xml:space="preserve"> participation;</w:t>
      </w:r>
    </w:p>
    <w:p w14:paraId="3551D01B" w14:textId="7BC28366"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m</w:t>
      </w:r>
      <w:r w:rsidR="009B5A0A" w:rsidRPr="00B85E4D">
        <w:rPr>
          <w:rFonts w:cs="Times New Roman"/>
          <w:i/>
          <w:iCs/>
          <w:sz w:val="24"/>
          <w:szCs w:val="24"/>
          <w:lang w:val="en-GB"/>
        </w:rPr>
        <w:t>argin period of risk</w:t>
      </w:r>
      <w:r w:rsidR="009B5A0A" w:rsidRPr="00B85E4D">
        <w:rPr>
          <w:rFonts w:cs="Times New Roman"/>
          <w:sz w:val="24"/>
          <w:szCs w:val="24"/>
          <w:lang w:val="en-GB"/>
        </w:rPr>
        <w:t xml:space="preserve"> – </w:t>
      </w:r>
      <w:r w:rsidR="00AD1617" w:rsidRPr="00B85E4D">
        <w:rPr>
          <w:rFonts w:cs="Times New Roman"/>
          <w:sz w:val="24"/>
          <w:szCs w:val="24"/>
          <w:lang w:val="en-GB"/>
        </w:rPr>
        <w:t>means the time period from the most recent exchange of collateral covering a netting set of transactions with a defaulting counterparty until the transactions are closed out and the resulting market risk is re-</w:t>
      </w:r>
      <w:proofErr w:type="gramStart"/>
      <w:r w:rsidR="00AD1617" w:rsidRPr="00B85E4D">
        <w:rPr>
          <w:rFonts w:cs="Times New Roman"/>
          <w:sz w:val="24"/>
          <w:szCs w:val="24"/>
          <w:lang w:val="en-GB"/>
        </w:rPr>
        <w:t>hedged;</w:t>
      </w:r>
      <w:proofErr w:type="gramEnd"/>
    </w:p>
    <w:p w14:paraId="6607B37E" w14:textId="2C15E4F8"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m</w:t>
      </w:r>
      <w:r w:rsidR="009B5A0A" w:rsidRPr="00B85E4D">
        <w:rPr>
          <w:rFonts w:cs="Times New Roman"/>
          <w:i/>
          <w:iCs/>
          <w:sz w:val="24"/>
          <w:szCs w:val="24"/>
          <w:lang w:val="en-GB"/>
        </w:rPr>
        <w:t>argin threshold</w:t>
      </w:r>
      <w:r w:rsidR="009B5A0A" w:rsidRPr="00B85E4D">
        <w:rPr>
          <w:rFonts w:cs="Times New Roman"/>
          <w:sz w:val="24"/>
          <w:szCs w:val="24"/>
          <w:lang w:val="en-GB"/>
        </w:rPr>
        <w:t xml:space="preserve"> – </w:t>
      </w:r>
      <w:r w:rsidR="00AD1617" w:rsidRPr="00B85E4D">
        <w:rPr>
          <w:rFonts w:cs="Times New Roman"/>
          <w:sz w:val="24"/>
          <w:szCs w:val="24"/>
          <w:lang w:val="en-GB"/>
        </w:rPr>
        <w:t xml:space="preserve">means the largest amount of an exposure that remains outstanding before one party has the right to call for </w:t>
      </w:r>
      <w:proofErr w:type="gramStart"/>
      <w:r w:rsidR="00AD1617" w:rsidRPr="00B85E4D">
        <w:rPr>
          <w:rFonts w:cs="Times New Roman"/>
          <w:sz w:val="24"/>
          <w:szCs w:val="24"/>
          <w:lang w:val="en-GB"/>
        </w:rPr>
        <w:t>collateral;</w:t>
      </w:r>
      <w:proofErr w:type="gramEnd"/>
    </w:p>
    <w:p w14:paraId="0606F709" w14:textId="4309A87E"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r</w:t>
      </w:r>
      <w:r w:rsidR="009B5A0A" w:rsidRPr="00B85E4D">
        <w:rPr>
          <w:rFonts w:cs="Times New Roman"/>
          <w:i/>
          <w:iCs/>
          <w:sz w:val="24"/>
          <w:szCs w:val="24"/>
          <w:lang w:val="en-GB"/>
        </w:rPr>
        <w:t>isk position</w:t>
      </w:r>
      <w:r w:rsidR="009B5A0A" w:rsidRPr="00B85E4D">
        <w:rPr>
          <w:rFonts w:cs="Times New Roman"/>
          <w:sz w:val="24"/>
          <w:szCs w:val="24"/>
          <w:lang w:val="en-GB"/>
        </w:rPr>
        <w:t xml:space="preserve"> – a risk </w:t>
      </w:r>
      <w:r w:rsidR="00AD1617" w:rsidRPr="00B85E4D">
        <w:rPr>
          <w:rFonts w:cs="Times New Roman"/>
          <w:sz w:val="24"/>
          <w:szCs w:val="24"/>
          <w:lang w:val="en-GB"/>
        </w:rPr>
        <w:t>number that is</w:t>
      </w:r>
      <w:r w:rsidR="009B5A0A" w:rsidRPr="00B85E4D">
        <w:rPr>
          <w:rFonts w:cs="Times New Roman"/>
          <w:sz w:val="24"/>
          <w:szCs w:val="24"/>
          <w:lang w:val="en-GB"/>
        </w:rPr>
        <w:t xml:space="preserve"> assigned to a transaction, based on a predetermined algorithm, within the Standardised </w:t>
      </w:r>
      <w:r w:rsidR="004A01C4" w:rsidRPr="00B85E4D">
        <w:rPr>
          <w:rFonts w:cs="Times New Roman"/>
          <w:sz w:val="24"/>
          <w:szCs w:val="24"/>
          <w:lang w:val="en-GB"/>
        </w:rPr>
        <w:t>Approach</w:t>
      </w:r>
      <w:r w:rsidR="009B5A0A" w:rsidRPr="00B85E4D">
        <w:rPr>
          <w:rFonts w:cs="Times New Roman"/>
          <w:sz w:val="24"/>
          <w:szCs w:val="24"/>
          <w:lang w:val="en-GB"/>
        </w:rPr>
        <w:t xml:space="preserve"> referred to in Chapter </w:t>
      </w:r>
      <w:proofErr w:type="gramStart"/>
      <w:r w:rsidR="009B5A0A" w:rsidRPr="00B85E4D">
        <w:rPr>
          <w:rFonts w:cs="Times New Roman"/>
          <w:sz w:val="24"/>
          <w:szCs w:val="24"/>
          <w:lang w:val="en-GB"/>
        </w:rPr>
        <w:t>III;</w:t>
      </w:r>
      <w:proofErr w:type="gramEnd"/>
    </w:p>
    <w:p w14:paraId="2DDEBC0F" w14:textId="7777113D"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9B5A0A" w:rsidRPr="00B85E4D">
        <w:rPr>
          <w:rFonts w:cs="Times New Roman"/>
          <w:i/>
          <w:iCs/>
          <w:sz w:val="24"/>
          <w:szCs w:val="24"/>
          <w:lang w:val="en-GB"/>
        </w:rPr>
        <w:t>ounterparty credit risk (CCR)</w:t>
      </w:r>
      <w:r w:rsidR="009B5A0A" w:rsidRPr="00B85E4D">
        <w:rPr>
          <w:rFonts w:cs="Times New Roman"/>
          <w:sz w:val="24"/>
          <w:szCs w:val="24"/>
          <w:lang w:val="en-GB"/>
        </w:rPr>
        <w:t xml:space="preserve"> – the risk that the counterparty to a transaction could default before the final settlement of the transaction’s cash </w:t>
      </w:r>
      <w:proofErr w:type="gramStart"/>
      <w:r w:rsidR="009B5A0A" w:rsidRPr="00B85E4D">
        <w:rPr>
          <w:rFonts w:cs="Times New Roman"/>
          <w:sz w:val="24"/>
          <w:szCs w:val="24"/>
          <w:lang w:val="en-GB"/>
        </w:rPr>
        <w:t>flows;</w:t>
      </w:r>
      <w:proofErr w:type="gramEnd"/>
    </w:p>
    <w:p w14:paraId="65E65A54" w14:textId="599EEC58"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h</w:t>
      </w:r>
      <w:r w:rsidR="009B5A0A" w:rsidRPr="00B85E4D">
        <w:rPr>
          <w:rFonts w:cs="Times New Roman"/>
          <w:i/>
          <w:iCs/>
          <w:sz w:val="24"/>
          <w:szCs w:val="24"/>
          <w:lang w:val="en-GB"/>
        </w:rPr>
        <w:t xml:space="preserve">edging set </w:t>
      </w:r>
      <w:r w:rsidR="009B5A0A" w:rsidRPr="00B85E4D">
        <w:rPr>
          <w:rFonts w:cs="Times New Roman"/>
          <w:sz w:val="24"/>
          <w:szCs w:val="24"/>
          <w:lang w:val="en-GB"/>
        </w:rPr>
        <w:t xml:space="preserve">– </w:t>
      </w:r>
      <w:r w:rsidR="00AD1617" w:rsidRPr="00B85E4D">
        <w:rPr>
          <w:rFonts w:cs="Times New Roman"/>
          <w:sz w:val="24"/>
          <w:szCs w:val="24"/>
          <w:lang w:val="en-GB"/>
        </w:rPr>
        <w:t xml:space="preserve">means a group of transactions within a single netting set for which full or partial offsetting is allowed for determining the potential future exposure under the </w:t>
      </w:r>
      <w:r w:rsidR="004A01C4" w:rsidRPr="00B85E4D">
        <w:rPr>
          <w:rFonts w:cs="Times New Roman"/>
          <w:sz w:val="24"/>
          <w:szCs w:val="24"/>
          <w:lang w:val="en-GB"/>
        </w:rPr>
        <w:t>method</w:t>
      </w:r>
      <w:r w:rsidR="00AD1617" w:rsidRPr="00B85E4D">
        <w:rPr>
          <w:rFonts w:cs="Times New Roman"/>
          <w:sz w:val="24"/>
          <w:szCs w:val="24"/>
          <w:lang w:val="en-GB"/>
        </w:rPr>
        <w:t xml:space="preserve">s set out </w:t>
      </w:r>
      <w:r w:rsidR="009B5A0A" w:rsidRPr="00B85E4D">
        <w:rPr>
          <w:rFonts w:cs="Times New Roman"/>
          <w:sz w:val="24"/>
          <w:szCs w:val="24"/>
          <w:lang w:val="en-GB"/>
        </w:rPr>
        <w:t xml:space="preserve">in Chapters III or </w:t>
      </w:r>
      <w:proofErr w:type="gramStart"/>
      <w:r w:rsidR="009B5A0A" w:rsidRPr="00B85E4D">
        <w:rPr>
          <w:rFonts w:cs="Times New Roman"/>
          <w:sz w:val="24"/>
          <w:szCs w:val="24"/>
          <w:lang w:val="en-GB"/>
        </w:rPr>
        <w:t>IV;</w:t>
      </w:r>
      <w:proofErr w:type="gramEnd"/>
    </w:p>
    <w:p w14:paraId="75EA24D3" w14:textId="77FC250A"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n</w:t>
      </w:r>
      <w:r w:rsidR="009B5A0A" w:rsidRPr="00B85E4D">
        <w:rPr>
          <w:rFonts w:cs="Times New Roman"/>
          <w:i/>
          <w:iCs/>
          <w:sz w:val="24"/>
          <w:szCs w:val="24"/>
          <w:lang w:val="en-GB"/>
        </w:rPr>
        <w:t>etting set</w:t>
      </w:r>
      <w:r w:rsidR="009B5A0A" w:rsidRPr="00B85E4D">
        <w:rPr>
          <w:rFonts w:cs="Times New Roman"/>
          <w:sz w:val="24"/>
          <w:szCs w:val="24"/>
          <w:lang w:val="en-GB"/>
        </w:rPr>
        <w:t xml:space="preserve"> – a group of transactions between a bank and a single counterparty that is subject to a legally enforceable bilateral netting agreement </w:t>
      </w:r>
      <w:r w:rsidR="006D3839" w:rsidRPr="00B85E4D">
        <w:rPr>
          <w:rFonts w:cs="Times New Roman"/>
          <w:sz w:val="24"/>
          <w:szCs w:val="24"/>
          <w:lang w:val="en-GB"/>
        </w:rPr>
        <w:t xml:space="preserve">that is </w:t>
      </w:r>
      <w:r w:rsidR="009B5A0A" w:rsidRPr="00B85E4D">
        <w:rPr>
          <w:rFonts w:cs="Times New Roman"/>
          <w:sz w:val="24"/>
          <w:szCs w:val="24"/>
          <w:lang w:val="en-GB"/>
        </w:rPr>
        <w:t xml:space="preserve">recognised in accordance with Chapter VI and with Chapters III and VI of the Regulation on credit risk mitigation techniques used by banks, approved by Decision No. 112/2018 of the Executive Committee of the National Bank of Moldova (hereinafter Regulation No. 112/2018). </w:t>
      </w:r>
      <w:r w:rsidR="006D3839" w:rsidRPr="00B85E4D">
        <w:rPr>
          <w:rFonts w:cs="Times New Roman"/>
          <w:sz w:val="24"/>
          <w:szCs w:val="24"/>
          <w:lang w:val="en-GB"/>
        </w:rPr>
        <w:t>Each</w:t>
      </w:r>
      <w:r w:rsidR="009B5A0A" w:rsidRPr="00B85E4D">
        <w:rPr>
          <w:rFonts w:cs="Times New Roman"/>
          <w:sz w:val="24"/>
          <w:szCs w:val="24"/>
          <w:lang w:val="en-GB"/>
        </w:rPr>
        <w:t xml:space="preserve"> transaction </w:t>
      </w:r>
      <w:r w:rsidR="006D3839" w:rsidRPr="00B85E4D">
        <w:rPr>
          <w:rFonts w:cs="Times New Roman"/>
          <w:sz w:val="24"/>
          <w:szCs w:val="24"/>
          <w:lang w:val="en-GB"/>
        </w:rPr>
        <w:t xml:space="preserve">that is </w:t>
      </w:r>
      <w:r w:rsidR="009B5A0A" w:rsidRPr="00B85E4D">
        <w:rPr>
          <w:rFonts w:cs="Times New Roman"/>
          <w:sz w:val="24"/>
          <w:szCs w:val="24"/>
          <w:lang w:val="en-GB"/>
        </w:rPr>
        <w:t xml:space="preserve">not subject to a legally enforceable and recognised bilateral netting agreement under Chapter VI of Regulation No. 112/2018 shall be treated as a netting set on its </w:t>
      </w:r>
      <w:proofErr w:type="gramStart"/>
      <w:r w:rsidR="009B5A0A" w:rsidRPr="00B85E4D">
        <w:rPr>
          <w:rFonts w:cs="Times New Roman"/>
          <w:sz w:val="24"/>
          <w:szCs w:val="24"/>
          <w:lang w:val="en-GB"/>
        </w:rPr>
        <w:t>own;</w:t>
      </w:r>
      <w:proofErr w:type="gramEnd"/>
    </w:p>
    <w:p w14:paraId="684F8126" w14:textId="0F35E0AA"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p</w:t>
      </w:r>
      <w:r w:rsidR="009B5A0A" w:rsidRPr="00B85E4D">
        <w:rPr>
          <w:rFonts w:cs="Times New Roman"/>
          <w:i/>
          <w:iCs/>
          <w:sz w:val="24"/>
          <w:szCs w:val="24"/>
          <w:lang w:val="en-GB"/>
        </w:rPr>
        <w:t>ayment leg</w:t>
      </w:r>
      <w:r w:rsidR="009B5A0A" w:rsidRPr="00B85E4D">
        <w:rPr>
          <w:rFonts w:cs="Times New Roman"/>
          <w:sz w:val="24"/>
          <w:szCs w:val="24"/>
          <w:lang w:val="en-GB"/>
        </w:rPr>
        <w:t xml:space="preserve"> – </w:t>
      </w:r>
      <w:r w:rsidR="00B101C8" w:rsidRPr="00B85E4D">
        <w:rPr>
          <w:rFonts w:cs="Times New Roman"/>
          <w:sz w:val="24"/>
          <w:szCs w:val="24"/>
          <w:lang w:val="en-GB"/>
        </w:rPr>
        <w:t>the payment agreed in an OTC derivative transaction with a linear risk profile which stipulates the exchange of a financial instrument for a payment</w:t>
      </w:r>
      <w:r w:rsidR="009B5A0A" w:rsidRPr="00B85E4D">
        <w:rPr>
          <w:rFonts w:cs="Times New Roman"/>
          <w:sz w:val="24"/>
          <w:szCs w:val="24"/>
          <w:lang w:val="en-GB"/>
        </w:rPr>
        <w:t xml:space="preserve">. </w:t>
      </w:r>
      <w:r w:rsidR="00B101C8" w:rsidRPr="00B85E4D">
        <w:rPr>
          <w:rFonts w:cs="Times New Roman"/>
          <w:sz w:val="24"/>
          <w:szCs w:val="24"/>
          <w:lang w:val="en-GB"/>
        </w:rPr>
        <w:t xml:space="preserve">In the case of transactions that stipulate the exchange of payment against payment, those two payment legs shall consist of the contractually agreed gross payments, including the notional amount of the </w:t>
      </w:r>
      <w:proofErr w:type="gramStart"/>
      <w:r w:rsidR="00B101C8" w:rsidRPr="00B85E4D">
        <w:rPr>
          <w:rFonts w:cs="Times New Roman"/>
          <w:sz w:val="24"/>
          <w:szCs w:val="24"/>
          <w:lang w:val="en-GB"/>
        </w:rPr>
        <w:t>transaction</w:t>
      </w:r>
      <w:r w:rsidR="009B5A0A" w:rsidRPr="00B85E4D">
        <w:rPr>
          <w:rFonts w:cs="Times New Roman"/>
          <w:sz w:val="24"/>
          <w:szCs w:val="24"/>
          <w:lang w:val="en-GB"/>
        </w:rPr>
        <w:t>;</w:t>
      </w:r>
      <w:proofErr w:type="gramEnd"/>
    </w:p>
    <w:p w14:paraId="4D1A6B6A" w14:textId="77777777" w:rsidR="009B5A0A" w:rsidRPr="00B85E4D" w:rsidRDefault="009B5A0A" w:rsidP="009B5A0A">
      <w:pPr>
        <w:spacing w:after="0"/>
        <w:jc w:val="both"/>
        <w:rPr>
          <w:rFonts w:cs="Times New Roman"/>
          <w:sz w:val="24"/>
          <w:szCs w:val="24"/>
          <w:lang w:val="en-GB"/>
        </w:rPr>
      </w:pPr>
    </w:p>
    <w:p w14:paraId="0997AED5" w14:textId="4E710F95"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m</w:t>
      </w:r>
      <w:r w:rsidR="009B5A0A" w:rsidRPr="00B85E4D">
        <w:rPr>
          <w:rFonts w:cs="Times New Roman"/>
          <w:i/>
          <w:iCs/>
          <w:sz w:val="24"/>
          <w:szCs w:val="24"/>
          <w:lang w:val="en-GB"/>
        </w:rPr>
        <w:t>ulti-level client structure</w:t>
      </w:r>
      <w:r w:rsidR="009B5A0A" w:rsidRPr="00B85E4D">
        <w:rPr>
          <w:rFonts w:cs="Times New Roman"/>
          <w:sz w:val="24"/>
          <w:szCs w:val="24"/>
          <w:lang w:val="en-GB"/>
        </w:rPr>
        <w:t xml:space="preserve"> – </w:t>
      </w:r>
      <w:r w:rsidR="00B101C8" w:rsidRPr="00B85E4D">
        <w:rPr>
          <w:rFonts w:cs="Times New Roman"/>
          <w:sz w:val="24"/>
          <w:szCs w:val="24"/>
          <w:lang w:val="en-GB"/>
        </w:rPr>
        <w:t xml:space="preserve">means an indirect clearing arrangement under which clearing services are provided to </w:t>
      </w:r>
      <w:r w:rsidR="00865CE4" w:rsidRPr="00B85E4D">
        <w:rPr>
          <w:rFonts w:cs="Times New Roman"/>
          <w:sz w:val="24"/>
          <w:szCs w:val="24"/>
          <w:lang w:val="en-GB"/>
        </w:rPr>
        <w:t>a bank</w:t>
      </w:r>
      <w:r w:rsidR="00B101C8" w:rsidRPr="00B85E4D">
        <w:rPr>
          <w:rFonts w:cs="Times New Roman"/>
          <w:sz w:val="24"/>
          <w:szCs w:val="24"/>
          <w:lang w:val="en-GB"/>
        </w:rPr>
        <w:t xml:space="preserve"> by an entity which is not a clearing member, but is itself a client of a clearing member or of a higher-level </w:t>
      </w:r>
      <w:proofErr w:type="gramStart"/>
      <w:r w:rsidR="00B101C8" w:rsidRPr="00B85E4D">
        <w:rPr>
          <w:rFonts w:cs="Times New Roman"/>
          <w:sz w:val="24"/>
          <w:szCs w:val="24"/>
          <w:lang w:val="en-GB"/>
        </w:rPr>
        <w:t>client;</w:t>
      </w:r>
      <w:proofErr w:type="gramEnd"/>
    </w:p>
    <w:p w14:paraId="6F78C653" w14:textId="19B8F88F"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lastRenderedPageBreak/>
        <w:t>n</w:t>
      </w:r>
      <w:r w:rsidR="009B5A0A" w:rsidRPr="00B85E4D">
        <w:rPr>
          <w:rFonts w:cs="Times New Roman"/>
          <w:i/>
          <w:iCs/>
          <w:sz w:val="24"/>
          <w:szCs w:val="24"/>
          <w:lang w:val="en-GB"/>
        </w:rPr>
        <w:t>et independent collateral amount</w:t>
      </w:r>
      <w:r w:rsidR="009B5A0A" w:rsidRPr="00B85E4D">
        <w:rPr>
          <w:rFonts w:cs="Times New Roman"/>
          <w:sz w:val="24"/>
          <w:szCs w:val="24"/>
          <w:lang w:val="en-GB"/>
        </w:rPr>
        <w:t xml:space="preserve"> (NICA) – </w:t>
      </w:r>
      <w:r w:rsidR="00B101C8" w:rsidRPr="00B85E4D">
        <w:rPr>
          <w:rFonts w:cs="Times New Roman"/>
          <w:sz w:val="24"/>
          <w:szCs w:val="24"/>
          <w:lang w:val="en-GB"/>
        </w:rPr>
        <w:t xml:space="preserve">the sum of the volatility-adjusted value of net collateral received or posted, as applicable, to the netting set other than variation </w:t>
      </w:r>
      <w:proofErr w:type="gramStart"/>
      <w:r w:rsidR="00B101C8" w:rsidRPr="00B85E4D">
        <w:rPr>
          <w:rFonts w:cs="Times New Roman"/>
          <w:sz w:val="24"/>
          <w:szCs w:val="24"/>
          <w:lang w:val="en-GB"/>
        </w:rPr>
        <w:t>margin</w:t>
      </w:r>
      <w:r w:rsidR="009B5A0A" w:rsidRPr="00B85E4D">
        <w:rPr>
          <w:rFonts w:cs="Times New Roman"/>
          <w:sz w:val="24"/>
          <w:szCs w:val="24"/>
          <w:lang w:val="en-GB"/>
        </w:rPr>
        <w:t>;</w:t>
      </w:r>
      <w:proofErr w:type="gramEnd"/>
    </w:p>
    <w:p w14:paraId="4C261613" w14:textId="018919B9"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l</w:t>
      </w:r>
      <w:r w:rsidR="009B5A0A" w:rsidRPr="00B85E4D">
        <w:rPr>
          <w:rFonts w:cs="Times New Roman"/>
          <w:i/>
          <w:iCs/>
          <w:sz w:val="24"/>
          <w:szCs w:val="24"/>
          <w:lang w:val="en-GB"/>
        </w:rPr>
        <w:t>ong settlement transactions</w:t>
      </w:r>
      <w:r w:rsidR="009B5A0A" w:rsidRPr="00B85E4D">
        <w:rPr>
          <w:rFonts w:cs="Times New Roman"/>
          <w:sz w:val="24"/>
          <w:szCs w:val="24"/>
          <w:lang w:val="en-GB"/>
        </w:rPr>
        <w:t xml:space="preserve"> – </w:t>
      </w:r>
      <w:r w:rsidR="006D3839" w:rsidRPr="00B85E4D">
        <w:rPr>
          <w:rFonts w:cs="Times New Roman"/>
          <w:sz w:val="24"/>
          <w:szCs w:val="24"/>
          <w:lang w:val="en-GB"/>
        </w:rPr>
        <w:t xml:space="preserve">means transactions where a counterparty undertakes to deliver a security, a commodity, or a foreign exchange amount against cash, other financial instruments, or commodities, or vice versa, at a settlement or delivery date specified by contract that is later than the market standard for this particular type of transaction or five business days after the date on which the </w:t>
      </w:r>
      <w:r w:rsidR="00865CE4" w:rsidRPr="00B85E4D">
        <w:rPr>
          <w:rFonts w:cs="Times New Roman"/>
          <w:sz w:val="24"/>
          <w:szCs w:val="24"/>
          <w:lang w:val="en-GB"/>
        </w:rPr>
        <w:t>bank</w:t>
      </w:r>
      <w:r w:rsidR="006D3839" w:rsidRPr="00B85E4D">
        <w:rPr>
          <w:rFonts w:cs="Times New Roman"/>
          <w:sz w:val="24"/>
          <w:szCs w:val="24"/>
          <w:lang w:val="en-GB"/>
        </w:rPr>
        <w:t xml:space="preserve"> enters into the transaction, whichever is </w:t>
      </w:r>
      <w:proofErr w:type="gramStart"/>
      <w:r w:rsidR="006D3839" w:rsidRPr="00B85E4D">
        <w:rPr>
          <w:rFonts w:cs="Times New Roman"/>
          <w:sz w:val="24"/>
          <w:szCs w:val="24"/>
          <w:lang w:val="en-GB"/>
        </w:rPr>
        <w:t>earlier;</w:t>
      </w:r>
      <w:proofErr w:type="gramEnd"/>
    </w:p>
    <w:p w14:paraId="6C29AC18" w14:textId="1B388924"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m</w:t>
      </w:r>
      <w:r w:rsidR="009B5A0A" w:rsidRPr="00B85E4D">
        <w:rPr>
          <w:rFonts w:cs="Times New Roman"/>
          <w:i/>
          <w:iCs/>
          <w:sz w:val="24"/>
          <w:szCs w:val="24"/>
          <w:lang w:val="en-GB"/>
        </w:rPr>
        <w:t>argin lending transactions</w:t>
      </w:r>
      <w:r w:rsidR="009B5A0A" w:rsidRPr="00B85E4D">
        <w:rPr>
          <w:rFonts w:cs="Times New Roman"/>
          <w:sz w:val="24"/>
          <w:szCs w:val="24"/>
          <w:lang w:val="en-GB"/>
        </w:rPr>
        <w:t xml:space="preserve"> – </w:t>
      </w:r>
      <w:r w:rsidR="006D3839" w:rsidRPr="00B85E4D">
        <w:rPr>
          <w:rFonts w:cs="Times New Roman"/>
          <w:sz w:val="24"/>
          <w:szCs w:val="24"/>
          <w:lang w:val="en-GB"/>
        </w:rPr>
        <w:t xml:space="preserve">means transactions in which </w:t>
      </w:r>
      <w:r w:rsidR="00865CE4" w:rsidRPr="00B85E4D">
        <w:rPr>
          <w:rFonts w:cs="Times New Roman"/>
          <w:sz w:val="24"/>
          <w:szCs w:val="24"/>
          <w:lang w:val="en-GB"/>
        </w:rPr>
        <w:t>a bank</w:t>
      </w:r>
      <w:r w:rsidR="006D3839" w:rsidRPr="00B85E4D">
        <w:rPr>
          <w:rFonts w:cs="Times New Roman"/>
          <w:sz w:val="24"/>
          <w:szCs w:val="24"/>
          <w:lang w:val="en-GB"/>
        </w:rPr>
        <w:t xml:space="preserve"> extends credit in connection with the purchase, sale, carrying or trading of securities. Margin lending transactions do not include other loans that are secured by collateral in the form of </w:t>
      </w:r>
      <w:proofErr w:type="gramStart"/>
      <w:r w:rsidR="006D3839" w:rsidRPr="00B85E4D">
        <w:rPr>
          <w:rFonts w:cs="Times New Roman"/>
          <w:sz w:val="24"/>
          <w:szCs w:val="24"/>
          <w:lang w:val="en-GB"/>
        </w:rPr>
        <w:t>securities;</w:t>
      </w:r>
      <w:proofErr w:type="gramEnd"/>
    </w:p>
    <w:p w14:paraId="68C0F2D5" w14:textId="44175328"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f</w:t>
      </w:r>
      <w:r w:rsidR="009B5A0A" w:rsidRPr="00B85E4D">
        <w:rPr>
          <w:rFonts w:cs="Times New Roman"/>
          <w:i/>
          <w:iCs/>
          <w:sz w:val="24"/>
          <w:szCs w:val="24"/>
          <w:lang w:val="en-GB"/>
        </w:rPr>
        <w:t xml:space="preserve">ully </w:t>
      </w:r>
      <w:r w:rsidR="00B101C8" w:rsidRPr="00B85E4D">
        <w:rPr>
          <w:rFonts w:cs="Times New Roman"/>
          <w:i/>
          <w:iCs/>
          <w:sz w:val="24"/>
          <w:szCs w:val="24"/>
          <w:lang w:val="en-GB"/>
        </w:rPr>
        <w:t>guaranteed</w:t>
      </w:r>
      <w:r w:rsidR="009B5A0A" w:rsidRPr="00B85E4D">
        <w:rPr>
          <w:rFonts w:cs="Times New Roman"/>
          <w:i/>
          <w:iCs/>
          <w:sz w:val="24"/>
          <w:szCs w:val="24"/>
          <w:lang w:val="en-GB"/>
        </w:rPr>
        <w:t xml:space="preserve"> deposit lending </w:t>
      </w:r>
      <w:r w:rsidR="00B101C8" w:rsidRPr="00B85E4D">
        <w:rPr>
          <w:rFonts w:cs="Times New Roman"/>
          <w:i/>
          <w:iCs/>
          <w:sz w:val="24"/>
          <w:szCs w:val="24"/>
          <w:lang w:val="en-GB"/>
        </w:rPr>
        <w:t xml:space="preserve">or borrowing </w:t>
      </w:r>
      <w:r w:rsidR="009B5A0A" w:rsidRPr="00B85E4D">
        <w:rPr>
          <w:rFonts w:cs="Times New Roman"/>
          <w:i/>
          <w:iCs/>
          <w:sz w:val="24"/>
          <w:szCs w:val="24"/>
          <w:lang w:val="en-GB"/>
        </w:rPr>
        <w:t>transaction</w:t>
      </w:r>
      <w:r w:rsidR="009B5A0A" w:rsidRPr="00B85E4D">
        <w:rPr>
          <w:rFonts w:cs="Times New Roman"/>
          <w:sz w:val="24"/>
          <w:szCs w:val="24"/>
          <w:lang w:val="en-GB"/>
        </w:rPr>
        <w:t xml:space="preserve"> – </w:t>
      </w:r>
      <w:r w:rsidR="00B101C8" w:rsidRPr="00B85E4D">
        <w:rPr>
          <w:rFonts w:cs="Times New Roman"/>
          <w:sz w:val="24"/>
          <w:szCs w:val="24"/>
          <w:lang w:val="en-GB"/>
        </w:rPr>
        <w:t xml:space="preserve">a fully collateralised money market transaction in which two counterparties exchange deposits and a CCP interposes itself between them to ensure the performance of those counterparties' payment </w:t>
      </w:r>
      <w:proofErr w:type="gramStart"/>
      <w:r w:rsidR="00B101C8" w:rsidRPr="00B85E4D">
        <w:rPr>
          <w:rFonts w:cs="Times New Roman"/>
          <w:sz w:val="24"/>
          <w:szCs w:val="24"/>
          <w:lang w:val="en-GB"/>
        </w:rPr>
        <w:t>obligations;</w:t>
      </w:r>
      <w:proofErr w:type="gramEnd"/>
    </w:p>
    <w:p w14:paraId="6045E2F0" w14:textId="25EDB630" w:rsidR="009B5A0A" w:rsidRPr="00B85E4D" w:rsidRDefault="009B5A0A" w:rsidP="004A01C4">
      <w:pPr>
        <w:spacing w:after="0"/>
        <w:ind w:firstLine="708"/>
        <w:jc w:val="both"/>
        <w:rPr>
          <w:rFonts w:cs="Times New Roman"/>
          <w:sz w:val="24"/>
          <w:szCs w:val="24"/>
          <w:lang w:val="en-GB"/>
        </w:rPr>
      </w:pPr>
      <w:r w:rsidRPr="00B85E4D">
        <w:rPr>
          <w:rFonts w:cs="Times New Roman"/>
          <w:i/>
          <w:iCs/>
          <w:sz w:val="24"/>
          <w:szCs w:val="24"/>
          <w:lang w:val="en-GB"/>
        </w:rPr>
        <w:t>CCP-related transaction</w:t>
      </w:r>
      <w:r w:rsidRPr="00B85E4D">
        <w:rPr>
          <w:rFonts w:cs="Times New Roman"/>
          <w:sz w:val="24"/>
          <w:szCs w:val="24"/>
          <w:lang w:val="en-GB"/>
        </w:rPr>
        <w:t xml:space="preserve"> – a contract or transaction, listed in p</w:t>
      </w:r>
      <w:r w:rsidR="00B101C8" w:rsidRPr="00B85E4D">
        <w:rPr>
          <w:rFonts w:cs="Times New Roman"/>
          <w:sz w:val="24"/>
          <w:szCs w:val="24"/>
          <w:lang w:val="en-GB"/>
        </w:rPr>
        <w:t>aragraph</w:t>
      </w:r>
      <w:r w:rsidRPr="00B85E4D">
        <w:rPr>
          <w:rFonts w:cs="Times New Roman"/>
          <w:sz w:val="24"/>
          <w:szCs w:val="24"/>
          <w:lang w:val="en-GB"/>
        </w:rPr>
        <w:t xml:space="preserve"> 125, between a client and a clearing member that is directly </w:t>
      </w:r>
      <w:r w:rsidR="00B101C8" w:rsidRPr="00B85E4D">
        <w:rPr>
          <w:rFonts w:cs="Times New Roman"/>
          <w:sz w:val="24"/>
          <w:szCs w:val="24"/>
          <w:lang w:val="en-GB"/>
        </w:rPr>
        <w:t>related</w:t>
      </w:r>
      <w:r w:rsidRPr="00B85E4D">
        <w:rPr>
          <w:rFonts w:cs="Times New Roman"/>
          <w:sz w:val="24"/>
          <w:szCs w:val="24"/>
          <w:lang w:val="en-GB"/>
        </w:rPr>
        <w:t xml:space="preserve"> to a contract or transaction listed in that </w:t>
      </w:r>
      <w:r w:rsidR="004A01C4" w:rsidRPr="00B85E4D">
        <w:rPr>
          <w:rFonts w:cs="Times New Roman"/>
          <w:sz w:val="24"/>
          <w:szCs w:val="24"/>
          <w:lang w:val="en-GB"/>
        </w:rPr>
        <w:t>paragraph between</w:t>
      </w:r>
      <w:r w:rsidRPr="00B85E4D">
        <w:rPr>
          <w:rFonts w:cs="Times New Roman"/>
          <w:sz w:val="24"/>
          <w:szCs w:val="24"/>
          <w:lang w:val="en-GB"/>
        </w:rPr>
        <w:t xml:space="preserve"> th</w:t>
      </w:r>
      <w:r w:rsidR="00B101C8" w:rsidRPr="00B85E4D">
        <w:rPr>
          <w:rFonts w:cs="Times New Roman"/>
          <w:sz w:val="24"/>
          <w:szCs w:val="24"/>
          <w:lang w:val="en-GB"/>
        </w:rPr>
        <w:t xml:space="preserve">at </w:t>
      </w:r>
      <w:r w:rsidRPr="00B85E4D">
        <w:rPr>
          <w:rFonts w:cs="Times New Roman"/>
          <w:sz w:val="24"/>
          <w:szCs w:val="24"/>
          <w:lang w:val="en-GB"/>
        </w:rPr>
        <w:t xml:space="preserve">clearing member and a </w:t>
      </w:r>
      <w:proofErr w:type="gramStart"/>
      <w:r w:rsidRPr="00B85E4D">
        <w:rPr>
          <w:rFonts w:cs="Times New Roman"/>
          <w:sz w:val="24"/>
          <w:szCs w:val="24"/>
          <w:lang w:val="en-GB"/>
        </w:rPr>
        <w:t>CCP;</w:t>
      </w:r>
      <w:proofErr w:type="gramEnd"/>
    </w:p>
    <w:p w14:paraId="361A6DD6" w14:textId="56B2072B"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9B5A0A" w:rsidRPr="00B85E4D">
        <w:rPr>
          <w:rFonts w:cs="Times New Roman"/>
          <w:i/>
          <w:iCs/>
          <w:sz w:val="24"/>
          <w:szCs w:val="24"/>
          <w:lang w:val="en-GB"/>
        </w:rPr>
        <w:t>ash transaction</w:t>
      </w:r>
      <w:r w:rsidR="009B5A0A" w:rsidRPr="00B85E4D">
        <w:rPr>
          <w:rFonts w:cs="Times New Roman"/>
          <w:sz w:val="24"/>
          <w:szCs w:val="24"/>
          <w:lang w:val="en-GB"/>
        </w:rPr>
        <w:t xml:space="preserve"> – </w:t>
      </w:r>
      <w:r w:rsidR="00B101C8" w:rsidRPr="00B85E4D">
        <w:rPr>
          <w:rFonts w:cs="Times New Roman"/>
          <w:sz w:val="24"/>
          <w:szCs w:val="24"/>
          <w:lang w:val="en-GB"/>
        </w:rPr>
        <w:t xml:space="preserve">a transaction in cash, debt instruments or equities, a spot foreign exchange transaction or a spot commodities transaction; however, repurchase transactions, securities or commodities lending transactions, and securities or commodities borrowing transactions, are not cash </w:t>
      </w:r>
      <w:proofErr w:type="gramStart"/>
      <w:r w:rsidR="00B101C8" w:rsidRPr="00B85E4D">
        <w:rPr>
          <w:rFonts w:cs="Times New Roman"/>
          <w:sz w:val="24"/>
          <w:szCs w:val="24"/>
          <w:lang w:val="en-GB"/>
        </w:rPr>
        <w:t>transactions;</w:t>
      </w:r>
      <w:proofErr w:type="gramEnd"/>
    </w:p>
    <w:p w14:paraId="0C8925B0" w14:textId="09A52DFD" w:rsidR="009B5A0A" w:rsidRPr="00B85E4D" w:rsidRDefault="001C6DBF" w:rsidP="004A01C4">
      <w:pPr>
        <w:spacing w:after="0"/>
        <w:ind w:firstLine="708"/>
        <w:jc w:val="both"/>
        <w:rPr>
          <w:rFonts w:cs="Times New Roman"/>
          <w:sz w:val="24"/>
          <w:szCs w:val="24"/>
          <w:lang w:val="en-GB"/>
        </w:rPr>
      </w:pPr>
      <w:r w:rsidRPr="00B85E4D">
        <w:rPr>
          <w:rFonts w:cs="Times New Roman"/>
          <w:i/>
          <w:iCs/>
          <w:sz w:val="24"/>
          <w:szCs w:val="24"/>
          <w:lang w:val="en-GB"/>
        </w:rPr>
        <w:t>c</w:t>
      </w:r>
      <w:r w:rsidR="009B5A0A" w:rsidRPr="00B85E4D">
        <w:rPr>
          <w:rFonts w:cs="Times New Roman"/>
          <w:i/>
          <w:iCs/>
          <w:sz w:val="24"/>
          <w:szCs w:val="24"/>
          <w:lang w:val="en-GB"/>
        </w:rPr>
        <w:t>urrent market value (CMV)</w:t>
      </w:r>
      <w:proofErr w:type="gramStart"/>
      <w:r w:rsidR="00B101C8" w:rsidRPr="00B85E4D">
        <w:rPr>
          <w:rFonts w:cs="Times New Roman"/>
          <w:sz w:val="24"/>
          <w:szCs w:val="24"/>
          <w:lang w:val="en-GB"/>
        </w:rPr>
        <w:t>-  the</w:t>
      </w:r>
      <w:proofErr w:type="gramEnd"/>
      <w:r w:rsidR="00B101C8" w:rsidRPr="00B85E4D">
        <w:rPr>
          <w:rFonts w:cs="Times New Roman"/>
          <w:sz w:val="24"/>
          <w:szCs w:val="24"/>
          <w:lang w:val="en-GB"/>
        </w:rPr>
        <w:t xml:space="preserve"> net market value of all the transactions within a netting set gross of any collateral held or posted where positive and negative market values are netted in computing the CMV;</w:t>
      </w:r>
    </w:p>
    <w:p w14:paraId="18BDB392" w14:textId="77777777" w:rsidR="004A01C4" w:rsidRPr="00B85E4D" w:rsidRDefault="004A01C4" w:rsidP="004A01C4">
      <w:pPr>
        <w:spacing w:after="0"/>
        <w:ind w:firstLine="708"/>
        <w:jc w:val="both"/>
        <w:rPr>
          <w:rFonts w:cs="Times New Roman"/>
          <w:sz w:val="24"/>
          <w:szCs w:val="24"/>
          <w:lang w:val="en-GB"/>
        </w:rPr>
      </w:pPr>
    </w:p>
    <w:p w14:paraId="0E5E2716" w14:textId="77777777" w:rsidR="004A01C4" w:rsidRPr="00B85E4D" w:rsidRDefault="004A01C4" w:rsidP="004A01C4">
      <w:pPr>
        <w:spacing w:after="0"/>
        <w:jc w:val="center"/>
        <w:rPr>
          <w:rFonts w:cs="Times New Roman"/>
          <w:i/>
          <w:iCs/>
          <w:sz w:val="24"/>
          <w:szCs w:val="24"/>
          <w:lang w:val="en-GB"/>
        </w:rPr>
      </w:pPr>
      <w:r w:rsidRPr="00B85E4D">
        <w:rPr>
          <w:rFonts w:cs="Times New Roman"/>
          <w:i/>
          <w:iCs/>
          <w:sz w:val="24"/>
          <w:szCs w:val="24"/>
          <w:lang w:val="en-GB"/>
        </w:rPr>
        <w:t>Section 2</w:t>
      </w:r>
    </w:p>
    <w:p w14:paraId="362670BF" w14:textId="7AB7967B" w:rsidR="004A01C4" w:rsidRPr="00B85E4D" w:rsidRDefault="004A01C4" w:rsidP="004A01C4">
      <w:pPr>
        <w:spacing w:after="0"/>
        <w:jc w:val="center"/>
        <w:rPr>
          <w:rFonts w:cs="Times New Roman"/>
          <w:b/>
          <w:bCs/>
          <w:sz w:val="24"/>
          <w:szCs w:val="24"/>
          <w:lang w:val="en-GB"/>
        </w:rPr>
      </w:pPr>
      <w:r w:rsidRPr="00B85E4D">
        <w:rPr>
          <w:rFonts w:cs="Times New Roman"/>
          <w:b/>
          <w:bCs/>
          <w:sz w:val="24"/>
          <w:szCs w:val="24"/>
          <w:lang w:val="en-GB"/>
        </w:rPr>
        <w:t>Determination of the exposure value</w:t>
      </w:r>
    </w:p>
    <w:p w14:paraId="04D02DFB" w14:textId="77777777" w:rsidR="004A01C4" w:rsidRPr="00B85E4D" w:rsidRDefault="004A01C4" w:rsidP="004A01C4">
      <w:pPr>
        <w:spacing w:after="0"/>
        <w:jc w:val="center"/>
        <w:rPr>
          <w:rFonts w:cs="Times New Roman"/>
          <w:b/>
          <w:bCs/>
          <w:sz w:val="24"/>
          <w:szCs w:val="24"/>
          <w:lang w:val="en-GB"/>
        </w:rPr>
      </w:pPr>
    </w:p>
    <w:p w14:paraId="13E3BFCD" w14:textId="0BEB70DD" w:rsidR="004A01C4" w:rsidRPr="00B85E4D" w:rsidRDefault="004A01C4" w:rsidP="0096099F">
      <w:pPr>
        <w:spacing w:after="0"/>
        <w:ind w:firstLine="708"/>
        <w:jc w:val="both"/>
        <w:rPr>
          <w:rFonts w:cs="Times New Roman"/>
          <w:sz w:val="24"/>
          <w:szCs w:val="24"/>
          <w:lang w:val="en-GB"/>
        </w:rPr>
      </w:pPr>
      <w:r w:rsidRPr="00B85E4D">
        <w:rPr>
          <w:rFonts w:cs="Times New Roman"/>
          <w:b/>
          <w:bCs/>
          <w:sz w:val="24"/>
          <w:szCs w:val="24"/>
          <w:lang w:val="en-GB"/>
        </w:rPr>
        <w:t>4.</w:t>
      </w:r>
      <w:r w:rsidRPr="00B85E4D">
        <w:rPr>
          <w:rFonts w:cs="Times New Roman"/>
          <w:sz w:val="24"/>
          <w:szCs w:val="24"/>
          <w:lang w:val="en-GB"/>
        </w:rPr>
        <w:t xml:space="preserve"> A bank may determine the exposure value of repurchase transactions, securities or commodities lending or borrowing transactions, long settlement transactions, and margin lending transactions in accordance with the present Regulation, without applying the provisions of Regulation No. 112/2018.</w:t>
      </w:r>
    </w:p>
    <w:p w14:paraId="2E7F1405" w14:textId="28B677E7" w:rsidR="004A01C4" w:rsidRPr="00B85E4D" w:rsidRDefault="0096099F" w:rsidP="0096099F">
      <w:pPr>
        <w:spacing w:after="0"/>
        <w:ind w:firstLine="708"/>
        <w:jc w:val="both"/>
        <w:rPr>
          <w:rFonts w:cs="Times New Roman"/>
          <w:sz w:val="24"/>
          <w:szCs w:val="24"/>
          <w:lang w:val="en-GB"/>
        </w:rPr>
      </w:pPr>
      <w:r w:rsidRPr="00B85E4D">
        <w:rPr>
          <w:rFonts w:cs="Times New Roman"/>
          <w:b/>
          <w:bCs/>
          <w:sz w:val="24"/>
          <w:szCs w:val="24"/>
          <w:lang w:val="en-GB"/>
        </w:rPr>
        <w:t>5.</w:t>
      </w:r>
      <w:r w:rsidRPr="00B85E4D">
        <w:rPr>
          <w:rFonts w:cs="Times New Roman"/>
          <w:sz w:val="24"/>
          <w:szCs w:val="24"/>
          <w:lang w:val="en-GB"/>
        </w:rPr>
        <w:t xml:space="preserve"> </w:t>
      </w:r>
      <w:proofErr w:type="gramStart"/>
      <w:r w:rsidR="004A01C4" w:rsidRPr="00B85E4D">
        <w:rPr>
          <w:rFonts w:cs="Times New Roman"/>
          <w:sz w:val="24"/>
          <w:szCs w:val="24"/>
          <w:lang w:val="en-GB"/>
        </w:rPr>
        <w:t>For the purpose of</w:t>
      </w:r>
      <w:proofErr w:type="gramEnd"/>
      <w:r w:rsidR="004A01C4" w:rsidRPr="00B85E4D">
        <w:rPr>
          <w:rFonts w:cs="Times New Roman"/>
          <w:sz w:val="24"/>
          <w:szCs w:val="24"/>
          <w:lang w:val="en-GB"/>
        </w:rPr>
        <w:t xml:space="preserve"> assessing counterparty credit risk, the exposure value of derivative financial instruments shall be determined using one of the following calculation methods:</w:t>
      </w:r>
    </w:p>
    <w:p w14:paraId="5C2FD26A" w14:textId="756DC9A6" w:rsidR="004A01C4" w:rsidRPr="00B85E4D" w:rsidRDefault="004A01C4" w:rsidP="0096099F">
      <w:pPr>
        <w:spacing w:after="0"/>
        <w:ind w:firstLine="708"/>
        <w:jc w:val="both"/>
        <w:rPr>
          <w:rFonts w:cs="Times New Roman"/>
          <w:sz w:val="24"/>
          <w:szCs w:val="24"/>
          <w:lang w:val="en-GB"/>
        </w:rPr>
      </w:pPr>
      <w:r w:rsidRPr="00B85E4D">
        <w:rPr>
          <w:rFonts w:cs="Times New Roman"/>
          <w:sz w:val="24"/>
          <w:szCs w:val="24"/>
          <w:lang w:val="en-GB"/>
        </w:rPr>
        <w:t xml:space="preserve">5.1. the </w:t>
      </w:r>
      <w:r w:rsidR="0096099F" w:rsidRPr="00B85E4D">
        <w:rPr>
          <w:rFonts w:cs="Times New Roman"/>
          <w:sz w:val="24"/>
          <w:szCs w:val="24"/>
          <w:lang w:val="en-GB"/>
        </w:rPr>
        <w:t>S</w:t>
      </w:r>
      <w:r w:rsidRPr="00B85E4D">
        <w:rPr>
          <w:rFonts w:cs="Times New Roman"/>
          <w:sz w:val="24"/>
          <w:szCs w:val="24"/>
          <w:lang w:val="en-GB"/>
        </w:rPr>
        <w:t xml:space="preserve">tandardised </w:t>
      </w:r>
      <w:r w:rsidR="0096099F" w:rsidRPr="00B85E4D">
        <w:rPr>
          <w:rFonts w:cs="Times New Roman"/>
          <w:sz w:val="24"/>
          <w:szCs w:val="24"/>
          <w:lang w:val="en-GB"/>
        </w:rPr>
        <w:t>a</w:t>
      </w:r>
      <w:r w:rsidRPr="00B85E4D">
        <w:rPr>
          <w:rFonts w:cs="Times New Roman"/>
          <w:sz w:val="24"/>
          <w:szCs w:val="24"/>
          <w:lang w:val="en-GB"/>
        </w:rPr>
        <w:t xml:space="preserve">pproach for </w:t>
      </w:r>
      <w:r w:rsidR="0096099F" w:rsidRPr="00B85E4D">
        <w:rPr>
          <w:rFonts w:cs="Times New Roman"/>
          <w:sz w:val="24"/>
          <w:szCs w:val="24"/>
          <w:lang w:val="en-GB"/>
        </w:rPr>
        <w:t>c</w:t>
      </w:r>
      <w:r w:rsidRPr="00B85E4D">
        <w:rPr>
          <w:rFonts w:cs="Times New Roman"/>
          <w:sz w:val="24"/>
          <w:szCs w:val="24"/>
          <w:lang w:val="en-GB"/>
        </w:rPr>
        <w:t xml:space="preserve">ounterparty </w:t>
      </w:r>
      <w:r w:rsidR="0096099F" w:rsidRPr="00B85E4D">
        <w:rPr>
          <w:rFonts w:cs="Times New Roman"/>
          <w:sz w:val="24"/>
          <w:szCs w:val="24"/>
          <w:lang w:val="en-GB"/>
        </w:rPr>
        <w:t>c</w:t>
      </w:r>
      <w:r w:rsidRPr="00B85E4D">
        <w:rPr>
          <w:rFonts w:cs="Times New Roman"/>
          <w:sz w:val="24"/>
          <w:szCs w:val="24"/>
          <w:lang w:val="en-GB"/>
        </w:rPr>
        <w:t xml:space="preserve">redit </w:t>
      </w:r>
      <w:proofErr w:type="gramStart"/>
      <w:r w:rsidR="0096099F" w:rsidRPr="00B85E4D">
        <w:rPr>
          <w:rFonts w:cs="Times New Roman"/>
          <w:sz w:val="24"/>
          <w:szCs w:val="24"/>
          <w:lang w:val="en-GB"/>
        </w:rPr>
        <w:t>r</w:t>
      </w:r>
      <w:r w:rsidRPr="00B85E4D">
        <w:rPr>
          <w:rFonts w:cs="Times New Roman"/>
          <w:sz w:val="24"/>
          <w:szCs w:val="24"/>
          <w:lang w:val="en-GB"/>
        </w:rPr>
        <w:t>isk;</w:t>
      </w:r>
      <w:proofErr w:type="gramEnd"/>
    </w:p>
    <w:p w14:paraId="31A81B1A" w14:textId="4C591964" w:rsidR="004A01C4" w:rsidRPr="00B85E4D" w:rsidRDefault="004A01C4" w:rsidP="0096099F">
      <w:pPr>
        <w:spacing w:after="0"/>
        <w:ind w:firstLine="708"/>
        <w:jc w:val="both"/>
        <w:rPr>
          <w:rFonts w:cs="Times New Roman"/>
          <w:sz w:val="24"/>
          <w:szCs w:val="24"/>
          <w:lang w:val="en-GB"/>
        </w:rPr>
      </w:pPr>
      <w:r w:rsidRPr="00B85E4D">
        <w:rPr>
          <w:rFonts w:cs="Times New Roman"/>
          <w:sz w:val="24"/>
          <w:szCs w:val="24"/>
          <w:lang w:val="en-GB"/>
        </w:rPr>
        <w:t xml:space="preserve">5.2. the </w:t>
      </w:r>
      <w:r w:rsidR="0096099F" w:rsidRPr="00B85E4D">
        <w:rPr>
          <w:rFonts w:cs="Times New Roman"/>
          <w:sz w:val="24"/>
          <w:szCs w:val="24"/>
          <w:lang w:val="en-GB"/>
        </w:rPr>
        <w:t>S</w:t>
      </w:r>
      <w:r w:rsidRPr="00B85E4D">
        <w:rPr>
          <w:rFonts w:cs="Times New Roman"/>
          <w:sz w:val="24"/>
          <w:szCs w:val="24"/>
          <w:lang w:val="en-GB"/>
        </w:rPr>
        <w:t xml:space="preserve">implified </w:t>
      </w:r>
      <w:r w:rsidR="0096099F" w:rsidRPr="00B85E4D">
        <w:rPr>
          <w:rFonts w:cs="Times New Roman"/>
          <w:sz w:val="24"/>
          <w:szCs w:val="24"/>
          <w:lang w:val="en-GB"/>
        </w:rPr>
        <w:t>s</w:t>
      </w:r>
      <w:r w:rsidRPr="00B85E4D">
        <w:rPr>
          <w:rFonts w:cs="Times New Roman"/>
          <w:sz w:val="24"/>
          <w:szCs w:val="24"/>
          <w:lang w:val="en-GB"/>
        </w:rPr>
        <w:t xml:space="preserve">tandardised </w:t>
      </w:r>
      <w:r w:rsidR="0096099F" w:rsidRPr="00B85E4D">
        <w:rPr>
          <w:rFonts w:cs="Times New Roman"/>
          <w:sz w:val="24"/>
          <w:szCs w:val="24"/>
          <w:lang w:val="en-GB"/>
        </w:rPr>
        <w:t>a</w:t>
      </w:r>
      <w:r w:rsidRPr="00B85E4D">
        <w:rPr>
          <w:rFonts w:cs="Times New Roman"/>
          <w:sz w:val="24"/>
          <w:szCs w:val="24"/>
          <w:lang w:val="en-GB"/>
        </w:rPr>
        <w:t xml:space="preserve">pproach for </w:t>
      </w:r>
      <w:r w:rsidR="0096099F" w:rsidRPr="00B85E4D">
        <w:rPr>
          <w:rFonts w:cs="Times New Roman"/>
          <w:sz w:val="24"/>
          <w:szCs w:val="24"/>
          <w:lang w:val="en-GB"/>
        </w:rPr>
        <w:t>c</w:t>
      </w:r>
      <w:r w:rsidRPr="00B85E4D">
        <w:rPr>
          <w:rFonts w:cs="Times New Roman"/>
          <w:sz w:val="24"/>
          <w:szCs w:val="24"/>
          <w:lang w:val="en-GB"/>
        </w:rPr>
        <w:t xml:space="preserve">ounterparty </w:t>
      </w:r>
      <w:r w:rsidR="0096099F" w:rsidRPr="00B85E4D">
        <w:rPr>
          <w:rFonts w:cs="Times New Roman"/>
          <w:sz w:val="24"/>
          <w:szCs w:val="24"/>
          <w:lang w:val="en-GB"/>
        </w:rPr>
        <w:t>c</w:t>
      </w:r>
      <w:r w:rsidRPr="00B85E4D">
        <w:rPr>
          <w:rFonts w:cs="Times New Roman"/>
          <w:sz w:val="24"/>
          <w:szCs w:val="24"/>
          <w:lang w:val="en-GB"/>
        </w:rPr>
        <w:t xml:space="preserve">redit </w:t>
      </w:r>
      <w:proofErr w:type="gramStart"/>
      <w:r w:rsidR="0096099F" w:rsidRPr="00B85E4D">
        <w:rPr>
          <w:rFonts w:cs="Times New Roman"/>
          <w:sz w:val="24"/>
          <w:szCs w:val="24"/>
          <w:lang w:val="en-GB"/>
        </w:rPr>
        <w:t>r</w:t>
      </w:r>
      <w:r w:rsidRPr="00B85E4D">
        <w:rPr>
          <w:rFonts w:cs="Times New Roman"/>
          <w:sz w:val="24"/>
          <w:szCs w:val="24"/>
          <w:lang w:val="en-GB"/>
        </w:rPr>
        <w:t>isk;</w:t>
      </w:r>
      <w:proofErr w:type="gramEnd"/>
    </w:p>
    <w:p w14:paraId="2076007B" w14:textId="760A460A" w:rsidR="004A01C4" w:rsidRPr="00B85E4D" w:rsidRDefault="004A01C4" w:rsidP="0096099F">
      <w:pPr>
        <w:spacing w:after="0"/>
        <w:ind w:firstLine="708"/>
        <w:jc w:val="both"/>
        <w:rPr>
          <w:rFonts w:cs="Times New Roman"/>
          <w:sz w:val="24"/>
          <w:szCs w:val="24"/>
          <w:lang w:val="en-GB"/>
        </w:rPr>
      </w:pPr>
      <w:r w:rsidRPr="00B85E4D">
        <w:rPr>
          <w:rFonts w:cs="Times New Roman"/>
          <w:sz w:val="24"/>
          <w:szCs w:val="24"/>
          <w:lang w:val="en-GB"/>
        </w:rPr>
        <w:t xml:space="preserve">5.3. the </w:t>
      </w:r>
      <w:proofErr w:type="gramStart"/>
      <w:r w:rsidR="0096099F" w:rsidRPr="00B85E4D">
        <w:rPr>
          <w:rFonts w:cs="Times New Roman"/>
          <w:sz w:val="24"/>
          <w:szCs w:val="24"/>
          <w:lang w:val="en-GB"/>
        </w:rPr>
        <w:t>O</w:t>
      </w:r>
      <w:r w:rsidRPr="00B85E4D">
        <w:rPr>
          <w:rFonts w:cs="Times New Roman"/>
          <w:sz w:val="24"/>
          <w:szCs w:val="24"/>
          <w:lang w:val="en-GB"/>
        </w:rPr>
        <w:t>riginal</w:t>
      </w:r>
      <w:proofErr w:type="gramEnd"/>
      <w:r w:rsidRPr="00B85E4D">
        <w:rPr>
          <w:rFonts w:cs="Times New Roman"/>
          <w:sz w:val="24"/>
          <w:szCs w:val="24"/>
          <w:lang w:val="en-GB"/>
        </w:rPr>
        <w:t xml:space="preserve"> </w:t>
      </w:r>
      <w:r w:rsidR="0096099F" w:rsidRPr="00B85E4D">
        <w:rPr>
          <w:rFonts w:cs="Times New Roman"/>
          <w:sz w:val="24"/>
          <w:szCs w:val="24"/>
          <w:lang w:val="en-GB"/>
        </w:rPr>
        <w:t>e</w:t>
      </w:r>
      <w:r w:rsidRPr="00B85E4D">
        <w:rPr>
          <w:rFonts w:cs="Times New Roman"/>
          <w:sz w:val="24"/>
          <w:szCs w:val="24"/>
          <w:lang w:val="en-GB"/>
        </w:rPr>
        <w:t xml:space="preserve">xposure </w:t>
      </w:r>
      <w:r w:rsidR="0096099F" w:rsidRPr="00B85E4D">
        <w:rPr>
          <w:rFonts w:cs="Times New Roman"/>
          <w:sz w:val="24"/>
          <w:szCs w:val="24"/>
          <w:lang w:val="en-GB"/>
        </w:rPr>
        <w:t>m</w:t>
      </w:r>
      <w:r w:rsidRPr="00B85E4D">
        <w:rPr>
          <w:rFonts w:cs="Times New Roman"/>
          <w:sz w:val="24"/>
          <w:szCs w:val="24"/>
          <w:lang w:val="en-GB"/>
        </w:rPr>
        <w:t>ethod.</w:t>
      </w:r>
    </w:p>
    <w:p w14:paraId="2D68C9C5" w14:textId="77777777" w:rsidR="0096099F" w:rsidRPr="00B85E4D" w:rsidRDefault="0096099F" w:rsidP="0096099F">
      <w:pPr>
        <w:spacing w:after="0"/>
        <w:jc w:val="both"/>
        <w:rPr>
          <w:rFonts w:cs="Times New Roman"/>
          <w:sz w:val="24"/>
          <w:szCs w:val="24"/>
          <w:lang w:val="en-GB"/>
        </w:rPr>
      </w:pPr>
    </w:p>
    <w:p w14:paraId="52A067DC" w14:textId="77777777" w:rsidR="0096099F" w:rsidRPr="00B85E4D" w:rsidRDefault="0096099F" w:rsidP="0096099F">
      <w:pPr>
        <w:spacing w:after="0"/>
        <w:jc w:val="center"/>
        <w:rPr>
          <w:rFonts w:cs="Times New Roman"/>
          <w:b/>
          <w:bCs/>
          <w:sz w:val="24"/>
          <w:szCs w:val="24"/>
          <w:lang w:val="en-GB"/>
        </w:rPr>
      </w:pPr>
      <w:r w:rsidRPr="00B85E4D">
        <w:rPr>
          <w:rFonts w:cs="Times New Roman"/>
          <w:b/>
          <w:bCs/>
          <w:sz w:val="24"/>
          <w:szCs w:val="24"/>
          <w:lang w:val="en-GB"/>
        </w:rPr>
        <w:t>CHAPTER II</w:t>
      </w:r>
    </w:p>
    <w:p w14:paraId="6FADEC89" w14:textId="38C972F9" w:rsidR="0096099F" w:rsidRPr="00B85E4D" w:rsidRDefault="0096099F" w:rsidP="0096099F">
      <w:pPr>
        <w:spacing w:after="0"/>
        <w:jc w:val="center"/>
        <w:rPr>
          <w:rFonts w:cs="Times New Roman"/>
          <w:b/>
          <w:bCs/>
          <w:sz w:val="24"/>
          <w:szCs w:val="24"/>
          <w:lang w:val="en-GB"/>
        </w:rPr>
      </w:pPr>
      <w:r w:rsidRPr="00B85E4D">
        <w:rPr>
          <w:rFonts w:cs="Times New Roman"/>
          <w:b/>
          <w:bCs/>
          <w:sz w:val="24"/>
          <w:szCs w:val="24"/>
          <w:lang w:val="en-GB"/>
        </w:rPr>
        <w:t xml:space="preserve">Methods for calculating the exposure </w:t>
      </w:r>
      <w:proofErr w:type="gramStart"/>
      <w:r w:rsidRPr="00B85E4D">
        <w:rPr>
          <w:rFonts w:cs="Times New Roman"/>
          <w:b/>
          <w:bCs/>
          <w:sz w:val="24"/>
          <w:szCs w:val="24"/>
          <w:lang w:val="en-GB"/>
        </w:rPr>
        <w:t>value</w:t>
      </w:r>
      <w:proofErr w:type="gramEnd"/>
    </w:p>
    <w:p w14:paraId="7E582B64" w14:textId="77777777" w:rsidR="0096099F" w:rsidRPr="00B85E4D" w:rsidRDefault="0096099F" w:rsidP="0096099F">
      <w:pPr>
        <w:spacing w:after="0"/>
        <w:jc w:val="center"/>
        <w:rPr>
          <w:rFonts w:cs="Times New Roman"/>
          <w:b/>
          <w:bCs/>
          <w:sz w:val="24"/>
          <w:szCs w:val="24"/>
          <w:lang w:val="en-GB"/>
        </w:rPr>
      </w:pPr>
    </w:p>
    <w:p w14:paraId="1785A3A0" w14:textId="77777777" w:rsidR="0096099F" w:rsidRPr="00B85E4D" w:rsidRDefault="0096099F" w:rsidP="0096099F">
      <w:pPr>
        <w:spacing w:after="0"/>
        <w:jc w:val="center"/>
        <w:rPr>
          <w:rFonts w:cs="Times New Roman"/>
          <w:i/>
          <w:iCs/>
          <w:sz w:val="24"/>
          <w:szCs w:val="24"/>
          <w:lang w:val="en-GB"/>
        </w:rPr>
      </w:pPr>
      <w:r w:rsidRPr="00B85E4D">
        <w:rPr>
          <w:rFonts w:cs="Times New Roman"/>
          <w:i/>
          <w:iCs/>
          <w:sz w:val="24"/>
          <w:szCs w:val="24"/>
          <w:lang w:val="en-GB"/>
        </w:rPr>
        <w:t>Section 1</w:t>
      </w:r>
    </w:p>
    <w:p w14:paraId="29BE9EB8" w14:textId="4A77C993" w:rsidR="0096099F" w:rsidRPr="00B85E4D" w:rsidRDefault="0096099F" w:rsidP="0096099F">
      <w:pPr>
        <w:spacing w:after="0"/>
        <w:jc w:val="center"/>
        <w:rPr>
          <w:rFonts w:cs="Times New Roman"/>
          <w:b/>
          <w:bCs/>
          <w:sz w:val="24"/>
          <w:szCs w:val="24"/>
          <w:lang w:val="en-GB"/>
        </w:rPr>
      </w:pPr>
      <w:r w:rsidRPr="00B85E4D">
        <w:rPr>
          <w:rFonts w:cs="Times New Roman"/>
          <w:b/>
          <w:bCs/>
          <w:sz w:val="24"/>
          <w:szCs w:val="24"/>
          <w:lang w:val="en-GB"/>
        </w:rPr>
        <w:t>Calculation methods</w:t>
      </w:r>
    </w:p>
    <w:p w14:paraId="10DBC533" w14:textId="77777777" w:rsidR="0096099F" w:rsidRPr="00B85E4D" w:rsidRDefault="0096099F" w:rsidP="0096099F">
      <w:pPr>
        <w:spacing w:after="0"/>
        <w:jc w:val="both"/>
        <w:rPr>
          <w:rFonts w:cs="Times New Roman"/>
          <w:sz w:val="24"/>
          <w:szCs w:val="24"/>
          <w:lang w:val="en-GB"/>
        </w:rPr>
      </w:pPr>
    </w:p>
    <w:p w14:paraId="5A28EC86" w14:textId="4DD9F467" w:rsidR="0096099F" w:rsidRPr="00B85E4D" w:rsidRDefault="0096099F" w:rsidP="00B03E0C">
      <w:pPr>
        <w:spacing w:after="0"/>
        <w:ind w:firstLine="708"/>
        <w:jc w:val="both"/>
        <w:rPr>
          <w:rFonts w:cs="Times New Roman"/>
          <w:sz w:val="24"/>
          <w:szCs w:val="24"/>
          <w:lang w:val="en-GB"/>
        </w:rPr>
      </w:pPr>
      <w:r w:rsidRPr="00B85E4D">
        <w:rPr>
          <w:rFonts w:cs="Times New Roman"/>
          <w:b/>
          <w:bCs/>
          <w:sz w:val="24"/>
          <w:szCs w:val="24"/>
          <w:lang w:val="en-GB"/>
        </w:rPr>
        <w:t>6.</w:t>
      </w:r>
      <w:r w:rsidRPr="00B85E4D">
        <w:rPr>
          <w:rFonts w:cs="Times New Roman"/>
          <w:sz w:val="24"/>
          <w:szCs w:val="24"/>
          <w:lang w:val="en-GB"/>
        </w:rPr>
        <w:t xml:space="preserve"> The bank shall calculate the exposure value for the contracts listed in Annex No. 1 to the Regulation on the treatment of market risk under the Standardised Approach, approved by Decision No. 114/2018 of the Executive Committee of the National Bank of Moldova (hereinafter referred to as Regulation No. 114/2018), based on one of the methods provided in Chapters III–V and in accordance with this Chapter.</w:t>
      </w:r>
    </w:p>
    <w:p w14:paraId="6FA5AC84" w14:textId="6C5A8E97" w:rsidR="0096099F" w:rsidRPr="00B85E4D" w:rsidRDefault="0096099F" w:rsidP="00B03E0C">
      <w:pPr>
        <w:spacing w:after="0"/>
        <w:ind w:firstLine="708"/>
        <w:jc w:val="both"/>
        <w:rPr>
          <w:rFonts w:cs="Times New Roman"/>
          <w:sz w:val="24"/>
          <w:szCs w:val="24"/>
          <w:lang w:val="en-GB"/>
        </w:rPr>
      </w:pPr>
      <w:r w:rsidRPr="00B85E4D">
        <w:rPr>
          <w:rFonts w:cs="Times New Roman"/>
          <w:b/>
          <w:bCs/>
          <w:sz w:val="24"/>
          <w:szCs w:val="24"/>
          <w:lang w:val="en-GB"/>
        </w:rPr>
        <w:t>7.</w:t>
      </w:r>
      <w:r w:rsidRPr="00B85E4D">
        <w:rPr>
          <w:rFonts w:cs="Times New Roman"/>
          <w:sz w:val="24"/>
          <w:szCs w:val="24"/>
          <w:lang w:val="en-GB"/>
        </w:rPr>
        <w:t xml:space="preserve"> A bank </w:t>
      </w:r>
      <w:r w:rsidR="00090DBD" w:rsidRPr="00B85E4D">
        <w:rPr>
          <w:rFonts w:cs="Times New Roman"/>
          <w:sz w:val="24"/>
          <w:szCs w:val="24"/>
          <w:lang w:val="en-GB"/>
        </w:rPr>
        <w:t>which</w:t>
      </w:r>
      <w:r w:rsidRPr="00B85E4D">
        <w:rPr>
          <w:rFonts w:cs="Times New Roman"/>
          <w:sz w:val="24"/>
          <w:szCs w:val="24"/>
          <w:lang w:val="en-GB"/>
        </w:rPr>
        <w:t xml:space="preserve"> does not meet the conditions set out in point 20 shall not use the method </w:t>
      </w:r>
      <w:r w:rsidR="00090DBD" w:rsidRPr="00B85E4D">
        <w:rPr>
          <w:rFonts w:cs="Times New Roman"/>
          <w:sz w:val="24"/>
          <w:szCs w:val="24"/>
          <w:lang w:val="en-GB"/>
        </w:rPr>
        <w:t xml:space="preserve">set </w:t>
      </w:r>
      <w:proofErr w:type="spellStart"/>
      <w:r w:rsidR="00090DBD" w:rsidRPr="00B85E4D">
        <w:rPr>
          <w:rFonts w:cs="Times New Roman"/>
          <w:sz w:val="24"/>
          <w:szCs w:val="24"/>
          <w:lang w:val="en-GB"/>
        </w:rPr>
        <w:t>ut</w:t>
      </w:r>
      <w:proofErr w:type="spellEnd"/>
      <w:r w:rsidRPr="00B85E4D">
        <w:rPr>
          <w:rFonts w:cs="Times New Roman"/>
          <w:sz w:val="24"/>
          <w:szCs w:val="24"/>
          <w:lang w:val="en-GB"/>
        </w:rPr>
        <w:t xml:space="preserve"> in Chapter IV. A bank that does not meet the conditions set out in point 21 shall not use the method referred to in Chapter V.</w:t>
      </w:r>
    </w:p>
    <w:p w14:paraId="21A179EF" w14:textId="13D3F38C" w:rsidR="0096099F" w:rsidRPr="00B85E4D" w:rsidRDefault="0096099F" w:rsidP="00B03E0C">
      <w:pPr>
        <w:spacing w:after="0"/>
        <w:ind w:firstLine="708"/>
        <w:jc w:val="both"/>
        <w:rPr>
          <w:rFonts w:cs="Times New Roman"/>
          <w:sz w:val="24"/>
          <w:szCs w:val="24"/>
          <w:lang w:val="en-GB"/>
        </w:rPr>
      </w:pPr>
      <w:r w:rsidRPr="00B85E4D">
        <w:rPr>
          <w:rFonts w:cs="Times New Roman"/>
          <w:b/>
          <w:bCs/>
          <w:sz w:val="24"/>
          <w:szCs w:val="24"/>
          <w:lang w:val="en-GB"/>
        </w:rPr>
        <w:lastRenderedPageBreak/>
        <w:t>8.</w:t>
      </w:r>
      <w:r w:rsidRPr="00B85E4D">
        <w:rPr>
          <w:rFonts w:cs="Times New Roman"/>
          <w:sz w:val="24"/>
          <w:szCs w:val="24"/>
          <w:lang w:val="en-GB"/>
        </w:rPr>
        <w:t xml:space="preserve"> A bank shall not use, on a permanent basis, a combination of the methods referred to in Chapters III–V.</w:t>
      </w:r>
    </w:p>
    <w:p w14:paraId="17BD4A7F" w14:textId="03028E4B" w:rsidR="0096099F" w:rsidRPr="00B85E4D" w:rsidRDefault="0096099F" w:rsidP="00B03E0C">
      <w:pPr>
        <w:spacing w:after="0"/>
        <w:ind w:firstLine="708"/>
        <w:jc w:val="both"/>
        <w:rPr>
          <w:rFonts w:cs="Times New Roman"/>
          <w:sz w:val="24"/>
          <w:szCs w:val="24"/>
          <w:lang w:val="en-GB"/>
        </w:rPr>
      </w:pPr>
      <w:r w:rsidRPr="00B85E4D">
        <w:rPr>
          <w:rFonts w:cs="Times New Roman"/>
          <w:b/>
          <w:bCs/>
          <w:sz w:val="24"/>
          <w:szCs w:val="24"/>
          <w:lang w:val="en-GB"/>
        </w:rPr>
        <w:t>9.</w:t>
      </w:r>
      <w:r w:rsidRPr="00B85E4D">
        <w:rPr>
          <w:rFonts w:cs="Times New Roman"/>
          <w:sz w:val="24"/>
          <w:szCs w:val="24"/>
          <w:lang w:val="en-GB"/>
        </w:rPr>
        <w:t xml:space="preserve"> By way of derogation, banks may use a combination of the methods referred to in Chapters III–V on a permanent basis within a group, as defined in Law No. 250/2017 on the supplementary supervision of banks, insurance or reinsurance undertakings and investment firms belonging to a financial conglomerate.</w:t>
      </w:r>
    </w:p>
    <w:p w14:paraId="0F5FCC05" w14:textId="4C08C8C7" w:rsidR="0096099F" w:rsidRPr="00B85E4D" w:rsidRDefault="0096099F" w:rsidP="00090DBD">
      <w:pPr>
        <w:spacing w:after="0"/>
        <w:ind w:firstLine="708"/>
        <w:jc w:val="both"/>
        <w:rPr>
          <w:rFonts w:cs="Times New Roman"/>
          <w:sz w:val="24"/>
          <w:szCs w:val="24"/>
          <w:lang w:val="en-GB"/>
        </w:rPr>
      </w:pPr>
      <w:r w:rsidRPr="00B85E4D">
        <w:rPr>
          <w:rFonts w:cs="Times New Roman"/>
          <w:b/>
          <w:bCs/>
          <w:sz w:val="24"/>
          <w:szCs w:val="24"/>
          <w:lang w:val="en-GB"/>
        </w:rPr>
        <w:t>10.</w:t>
      </w:r>
      <w:r w:rsidRPr="00B85E4D">
        <w:rPr>
          <w:rFonts w:cs="Times New Roman"/>
          <w:sz w:val="24"/>
          <w:szCs w:val="24"/>
          <w:lang w:val="en-GB"/>
        </w:rPr>
        <w:t xml:space="preserve"> Where a bank purchases </w:t>
      </w:r>
      <w:r w:rsidR="00090DBD" w:rsidRPr="00B85E4D">
        <w:rPr>
          <w:rFonts w:cs="Times New Roman"/>
          <w:sz w:val="24"/>
          <w:szCs w:val="24"/>
          <w:lang w:val="en-GB"/>
        </w:rPr>
        <w:t>protection through a credit derivative against a non-trading book exposure or against a counterparty risk exposure</w:t>
      </w:r>
      <w:r w:rsidRPr="00B85E4D">
        <w:rPr>
          <w:rFonts w:cs="Times New Roman"/>
          <w:sz w:val="24"/>
          <w:szCs w:val="24"/>
          <w:lang w:val="en-GB"/>
        </w:rPr>
        <w:t xml:space="preserve">, it may calculate </w:t>
      </w:r>
      <w:r w:rsidR="00090DBD" w:rsidRPr="00B85E4D">
        <w:rPr>
          <w:rFonts w:cs="Times New Roman"/>
          <w:sz w:val="24"/>
          <w:szCs w:val="24"/>
          <w:lang w:val="en-GB"/>
        </w:rPr>
        <w:t>its</w:t>
      </w:r>
      <w:r w:rsidRPr="00B85E4D">
        <w:rPr>
          <w:rFonts w:cs="Times New Roman"/>
          <w:sz w:val="24"/>
          <w:szCs w:val="24"/>
          <w:lang w:val="en-GB"/>
        </w:rPr>
        <w:t xml:space="preserve"> own funds requirement for the hedged exposure in accordance with Chapter IX of Regulation No. 112/2018. The exposure value to counterparty credit risk for such credit derivative instruments shall be zero, unless the bank applies the approach provided for in paragraph 124, subparagraph 124.2.</w:t>
      </w:r>
    </w:p>
    <w:p w14:paraId="0FAC5927" w14:textId="3FC6D13A" w:rsidR="0096099F" w:rsidRPr="00B85E4D" w:rsidRDefault="0096099F" w:rsidP="00B03E0C">
      <w:pPr>
        <w:spacing w:after="0"/>
        <w:ind w:firstLine="708"/>
        <w:jc w:val="both"/>
        <w:rPr>
          <w:rFonts w:cs="Times New Roman"/>
          <w:sz w:val="24"/>
          <w:szCs w:val="24"/>
          <w:lang w:val="en-GB"/>
        </w:rPr>
      </w:pPr>
      <w:r w:rsidRPr="00B85E4D">
        <w:rPr>
          <w:rFonts w:cs="Times New Roman"/>
          <w:b/>
          <w:bCs/>
          <w:sz w:val="24"/>
          <w:szCs w:val="24"/>
          <w:lang w:val="en-GB"/>
        </w:rPr>
        <w:t>11.</w:t>
      </w:r>
      <w:r w:rsidRPr="00B85E4D">
        <w:rPr>
          <w:rFonts w:cs="Times New Roman"/>
          <w:sz w:val="24"/>
          <w:szCs w:val="24"/>
          <w:lang w:val="en-GB"/>
        </w:rPr>
        <w:t xml:space="preserve"> </w:t>
      </w:r>
      <w:r w:rsidR="00401023" w:rsidRPr="00B85E4D">
        <w:rPr>
          <w:rFonts w:cs="Times New Roman"/>
          <w:sz w:val="24"/>
          <w:szCs w:val="24"/>
          <w:lang w:val="en-GB"/>
        </w:rPr>
        <w:t>Notwithstanding</w:t>
      </w:r>
      <w:r w:rsidRPr="00B85E4D">
        <w:rPr>
          <w:rFonts w:cs="Times New Roman"/>
          <w:sz w:val="24"/>
          <w:szCs w:val="24"/>
          <w:lang w:val="en-GB"/>
        </w:rPr>
        <w:t xml:space="preserve"> paragraph 10, </w:t>
      </w:r>
      <w:r w:rsidR="00401023" w:rsidRPr="00B85E4D">
        <w:rPr>
          <w:sz w:val="24"/>
          <w:szCs w:val="24"/>
          <w:lang w:val="en-GB"/>
        </w:rPr>
        <w:t>a bank may choose consistently to include for the purposes of calculating own funds requirements for counterparty credit risk all credit derivatives not included in the trading book and purchased as protection against a non-trading book exposure or against a counterparty credit risk exposure where the credit protection is recognised under</w:t>
      </w:r>
      <w:r w:rsidRPr="00B85E4D">
        <w:rPr>
          <w:rFonts w:cs="Times New Roman"/>
          <w:sz w:val="24"/>
          <w:szCs w:val="24"/>
          <w:lang w:val="en-GB"/>
        </w:rPr>
        <w:t xml:space="preserve"> Regulation No. 112/2018.</w:t>
      </w:r>
    </w:p>
    <w:p w14:paraId="23B9150E" w14:textId="7F7B3C05" w:rsidR="0096099F" w:rsidRPr="00B85E4D" w:rsidRDefault="00B03E0C" w:rsidP="00B03E0C">
      <w:pPr>
        <w:spacing w:after="0"/>
        <w:ind w:firstLine="708"/>
        <w:jc w:val="both"/>
        <w:rPr>
          <w:rFonts w:cs="Times New Roman"/>
          <w:sz w:val="24"/>
          <w:szCs w:val="24"/>
          <w:lang w:val="en-GB"/>
        </w:rPr>
      </w:pPr>
      <w:r w:rsidRPr="00B85E4D">
        <w:rPr>
          <w:rFonts w:cs="Times New Roman"/>
          <w:b/>
          <w:bCs/>
          <w:sz w:val="24"/>
          <w:szCs w:val="24"/>
          <w:lang w:val="en-GB"/>
        </w:rPr>
        <w:t>12.</w:t>
      </w:r>
      <w:r w:rsidRPr="00B85E4D">
        <w:rPr>
          <w:rFonts w:cs="Times New Roman"/>
          <w:sz w:val="24"/>
          <w:szCs w:val="24"/>
          <w:lang w:val="en-GB"/>
        </w:rPr>
        <w:t xml:space="preserve"> </w:t>
      </w:r>
      <w:r w:rsidR="0096099F" w:rsidRPr="00B85E4D">
        <w:rPr>
          <w:rFonts w:cs="Times New Roman"/>
          <w:sz w:val="24"/>
          <w:szCs w:val="24"/>
          <w:lang w:val="en-GB"/>
        </w:rPr>
        <w:t xml:space="preserve">Where </w:t>
      </w:r>
      <w:r w:rsidR="00401023" w:rsidRPr="00B85E4D">
        <w:rPr>
          <w:sz w:val="24"/>
          <w:szCs w:val="24"/>
          <w:lang w:val="en-GB"/>
        </w:rPr>
        <w:t>credit default swaps sold by a bank are treated by a bank as credit protection provided by that bank and are subject to own funds requirement for credit risk of the underlying for the full notional amount, their exposure value for the purposes of CCR in the non-trading book shall be zero</w:t>
      </w:r>
      <w:r w:rsidR="0096099F" w:rsidRPr="00B85E4D">
        <w:rPr>
          <w:rFonts w:cs="Times New Roman"/>
          <w:sz w:val="24"/>
          <w:szCs w:val="24"/>
          <w:lang w:val="en-GB"/>
        </w:rPr>
        <w:t>.</w:t>
      </w:r>
    </w:p>
    <w:p w14:paraId="0262A806" w14:textId="706AA66A" w:rsidR="0096099F" w:rsidRPr="00B85E4D" w:rsidRDefault="00B03E0C" w:rsidP="00B03E0C">
      <w:pPr>
        <w:spacing w:after="0"/>
        <w:ind w:firstLine="708"/>
        <w:jc w:val="both"/>
        <w:rPr>
          <w:rFonts w:cs="Times New Roman"/>
          <w:sz w:val="24"/>
          <w:szCs w:val="24"/>
          <w:lang w:val="en-GB"/>
        </w:rPr>
      </w:pPr>
      <w:r w:rsidRPr="00B85E4D">
        <w:rPr>
          <w:rFonts w:cs="Times New Roman"/>
          <w:b/>
          <w:bCs/>
          <w:sz w:val="24"/>
          <w:szCs w:val="24"/>
          <w:lang w:val="en-GB"/>
        </w:rPr>
        <w:t>13.</w:t>
      </w:r>
      <w:r w:rsidRPr="00B85E4D">
        <w:rPr>
          <w:rFonts w:cs="Times New Roman"/>
          <w:sz w:val="24"/>
          <w:szCs w:val="24"/>
          <w:lang w:val="en-GB"/>
        </w:rPr>
        <w:t xml:space="preserve"> </w:t>
      </w:r>
      <w:r w:rsidR="0096099F" w:rsidRPr="00B85E4D">
        <w:rPr>
          <w:rFonts w:cs="Times New Roman"/>
          <w:sz w:val="24"/>
          <w:szCs w:val="24"/>
          <w:lang w:val="en-GB"/>
        </w:rPr>
        <w:t xml:space="preserve">Under the methods set out in Chapters III–V, </w:t>
      </w:r>
      <w:r w:rsidR="00401023" w:rsidRPr="00B85E4D">
        <w:rPr>
          <w:sz w:val="24"/>
          <w:szCs w:val="24"/>
          <w:lang w:val="en-GB"/>
        </w:rPr>
        <w:t>the exposure value for a given counterparty shall be equal to the sum of the exposure values calculated for each netting set with that counterparty</w:t>
      </w:r>
      <w:r w:rsidR="0096099F" w:rsidRPr="00B85E4D">
        <w:rPr>
          <w:rFonts w:cs="Times New Roman"/>
          <w:sz w:val="24"/>
          <w:szCs w:val="24"/>
          <w:lang w:val="en-GB"/>
        </w:rPr>
        <w:t>.</w:t>
      </w:r>
    </w:p>
    <w:p w14:paraId="03360598" w14:textId="070E6AD2" w:rsidR="0096099F" w:rsidRPr="00B85E4D" w:rsidRDefault="00B03E0C" w:rsidP="00B03E0C">
      <w:pPr>
        <w:spacing w:after="0"/>
        <w:ind w:firstLine="708"/>
        <w:jc w:val="both"/>
        <w:rPr>
          <w:rFonts w:cs="Times New Roman"/>
          <w:sz w:val="24"/>
          <w:szCs w:val="24"/>
          <w:lang w:val="en-GB"/>
        </w:rPr>
      </w:pPr>
      <w:r w:rsidRPr="00B85E4D">
        <w:rPr>
          <w:rFonts w:cs="Times New Roman"/>
          <w:b/>
          <w:bCs/>
          <w:sz w:val="24"/>
          <w:szCs w:val="24"/>
          <w:lang w:val="en-GB"/>
        </w:rPr>
        <w:t>13.</w:t>
      </w:r>
      <w:r w:rsidRPr="00B85E4D">
        <w:rPr>
          <w:rFonts w:cs="Times New Roman"/>
          <w:sz w:val="24"/>
          <w:szCs w:val="24"/>
          <w:lang w:val="en-GB"/>
        </w:rPr>
        <w:t xml:space="preserve"> </w:t>
      </w:r>
      <w:r w:rsidR="0096099F" w:rsidRPr="00B85E4D">
        <w:rPr>
          <w:rFonts w:cs="Times New Roman"/>
          <w:sz w:val="24"/>
          <w:szCs w:val="24"/>
          <w:lang w:val="en-GB"/>
        </w:rPr>
        <w:t>By way of derogation from p</w:t>
      </w:r>
      <w:r w:rsidRPr="00B85E4D">
        <w:rPr>
          <w:rFonts w:cs="Times New Roman"/>
          <w:sz w:val="24"/>
          <w:szCs w:val="24"/>
          <w:lang w:val="en-GB"/>
        </w:rPr>
        <w:t>aragraph</w:t>
      </w:r>
      <w:r w:rsidR="0096099F" w:rsidRPr="00B85E4D">
        <w:rPr>
          <w:rFonts w:cs="Times New Roman"/>
          <w:sz w:val="24"/>
          <w:szCs w:val="24"/>
          <w:lang w:val="en-GB"/>
        </w:rPr>
        <w:t xml:space="preserve"> 13, </w:t>
      </w:r>
      <w:r w:rsidR="00401023" w:rsidRPr="00B85E4D">
        <w:rPr>
          <w:sz w:val="24"/>
          <w:szCs w:val="24"/>
          <w:lang w:val="en-GB"/>
        </w:rPr>
        <w:t xml:space="preserve">where one margin agreement applies to multiple netting sets with that counterparty and the bank is using one of the methods set out in </w:t>
      </w:r>
      <w:r w:rsidR="0096099F" w:rsidRPr="00B85E4D">
        <w:rPr>
          <w:rFonts w:cs="Times New Roman"/>
          <w:sz w:val="24"/>
          <w:szCs w:val="24"/>
          <w:lang w:val="en-GB"/>
        </w:rPr>
        <w:t>Chapters III–V to calculate the exposure value of those netting sets, the exposure value shall be calculated in accordance with the relevant Chapter.</w:t>
      </w:r>
    </w:p>
    <w:p w14:paraId="52F7EEC4" w14:textId="4F323834" w:rsidR="0096099F" w:rsidRPr="00B85E4D" w:rsidRDefault="00B03E0C" w:rsidP="00B03E0C">
      <w:pPr>
        <w:spacing w:after="0"/>
        <w:ind w:firstLine="708"/>
        <w:jc w:val="both"/>
        <w:rPr>
          <w:rFonts w:cs="Times New Roman"/>
          <w:sz w:val="24"/>
          <w:szCs w:val="24"/>
          <w:lang w:val="en-GB"/>
        </w:rPr>
      </w:pPr>
      <w:r w:rsidRPr="00B85E4D">
        <w:rPr>
          <w:rFonts w:cs="Times New Roman"/>
          <w:b/>
          <w:bCs/>
          <w:sz w:val="24"/>
          <w:szCs w:val="24"/>
          <w:lang w:val="en-GB"/>
        </w:rPr>
        <w:t>15.</w:t>
      </w:r>
      <w:r w:rsidRPr="00B85E4D">
        <w:rPr>
          <w:rFonts w:cs="Times New Roman"/>
          <w:sz w:val="24"/>
          <w:szCs w:val="24"/>
          <w:lang w:val="en-GB"/>
        </w:rPr>
        <w:t xml:space="preserve"> </w:t>
      </w:r>
      <w:r w:rsidR="0096099F" w:rsidRPr="00B85E4D">
        <w:rPr>
          <w:rFonts w:cs="Times New Roman"/>
          <w:sz w:val="24"/>
          <w:szCs w:val="24"/>
          <w:lang w:val="en-GB"/>
        </w:rPr>
        <w:t xml:space="preserve">For a given counterparty, the exposure value for a </w:t>
      </w:r>
      <w:r w:rsidR="00401023" w:rsidRPr="00B85E4D">
        <w:rPr>
          <w:rFonts w:cs="Times New Roman"/>
          <w:sz w:val="24"/>
          <w:szCs w:val="24"/>
          <w:lang w:val="en-GB"/>
        </w:rPr>
        <w:t>given</w:t>
      </w:r>
      <w:r w:rsidR="0096099F" w:rsidRPr="00B85E4D">
        <w:rPr>
          <w:rFonts w:cs="Times New Roman"/>
          <w:sz w:val="24"/>
          <w:szCs w:val="24"/>
          <w:lang w:val="en-GB"/>
        </w:rPr>
        <w:t xml:space="preserve"> netting set of over-the-counter (OTC) derivative instruments listed in Annex No. 1 to Regulation No. 114/2018, once calculated, </w:t>
      </w:r>
      <w:r w:rsidR="00401023" w:rsidRPr="00B85E4D">
        <w:rPr>
          <w:sz w:val="24"/>
          <w:szCs w:val="24"/>
          <w:lang w:val="en-GB"/>
        </w:rPr>
        <w:t>shall be the greater of zero and the difference between the sum of exposure values across all netting sets with the counterparty and the sum of credit valuation adjustments for that counterparty being recognised by the bank as an incurred write-down. The credit valuation adjustments shall be calculated without taking into account any offsetting debit value adjustment attributed to the own credit risk of the firm that has been already excluded from own funds in accordance with</w:t>
      </w:r>
      <w:r w:rsidR="0096099F" w:rsidRPr="00B85E4D">
        <w:rPr>
          <w:rFonts w:cs="Times New Roman"/>
          <w:sz w:val="24"/>
          <w:szCs w:val="24"/>
          <w:lang w:val="en-GB"/>
        </w:rPr>
        <w:t xml:space="preserve"> </w:t>
      </w:r>
      <w:r w:rsidRPr="00B85E4D">
        <w:rPr>
          <w:rFonts w:cs="Times New Roman"/>
          <w:sz w:val="24"/>
          <w:szCs w:val="24"/>
          <w:lang w:val="en-GB"/>
        </w:rPr>
        <w:t>paragraph</w:t>
      </w:r>
      <w:r w:rsidR="0096099F" w:rsidRPr="00B85E4D">
        <w:rPr>
          <w:rFonts w:cs="Times New Roman"/>
          <w:sz w:val="24"/>
          <w:szCs w:val="24"/>
          <w:lang w:val="en-GB"/>
        </w:rPr>
        <w:t xml:space="preserve"> 26 sub</w:t>
      </w:r>
      <w:r w:rsidRPr="00B85E4D">
        <w:rPr>
          <w:rFonts w:cs="Times New Roman"/>
          <w:sz w:val="24"/>
          <w:szCs w:val="24"/>
          <w:lang w:val="en-GB"/>
        </w:rPr>
        <w:t>paragraph</w:t>
      </w:r>
      <w:r w:rsidR="0096099F" w:rsidRPr="00B85E4D">
        <w:rPr>
          <w:rFonts w:cs="Times New Roman"/>
          <w:sz w:val="24"/>
          <w:szCs w:val="24"/>
          <w:lang w:val="en-GB"/>
        </w:rPr>
        <w:t xml:space="preserve"> 3) of the Regulation on own funds </w:t>
      </w:r>
      <w:r w:rsidRPr="00B85E4D">
        <w:rPr>
          <w:rFonts w:cs="Times New Roman"/>
          <w:sz w:val="24"/>
          <w:szCs w:val="24"/>
          <w:lang w:val="en-GB"/>
        </w:rPr>
        <w:t xml:space="preserve">of banks </w:t>
      </w:r>
      <w:r w:rsidR="0096099F" w:rsidRPr="00B85E4D">
        <w:rPr>
          <w:rFonts w:cs="Times New Roman"/>
          <w:sz w:val="24"/>
          <w:szCs w:val="24"/>
          <w:lang w:val="en-GB"/>
        </w:rPr>
        <w:t>and capital requirements, approved by Decision No. 109/2018 of the Executive Committee of the National Bank of Moldova (hereinafter referred to as Regulation No. 109/2018).</w:t>
      </w:r>
    </w:p>
    <w:p w14:paraId="7F54E980" w14:textId="5D2449A0" w:rsidR="0096099F" w:rsidRPr="00B85E4D" w:rsidRDefault="00B03E0C" w:rsidP="00B03E0C">
      <w:pPr>
        <w:spacing w:after="0"/>
        <w:ind w:firstLine="708"/>
        <w:jc w:val="both"/>
        <w:rPr>
          <w:rFonts w:cs="Times New Roman"/>
          <w:sz w:val="24"/>
          <w:szCs w:val="24"/>
          <w:lang w:val="en-GB"/>
        </w:rPr>
      </w:pPr>
      <w:r w:rsidRPr="00B85E4D">
        <w:rPr>
          <w:rFonts w:cs="Times New Roman"/>
          <w:b/>
          <w:bCs/>
          <w:sz w:val="24"/>
          <w:szCs w:val="24"/>
          <w:lang w:val="en-GB"/>
        </w:rPr>
        <w:t>16.</w:t>
      </w:r>
      <w:r w:rsidRPr="00B85E4D">
        <w:rPr>
          <w:rFonts w:cs="Times New Roman"/>
          <w:sz w:val="24"/>
          <w:szCs w:val="24"/>
          <w:lang w:val="en-GB"/>
        </w:rPr>
        <w:t xml:space="preserve"> </w:t>
      </w:r>
      <w:r w:rsidR="00401023" w:rsidRPr="00B85E4D">
        <w:rPr>
          <w:rFonts w:cs="Times New Roman"/>
          <w:sz w:val="24"/>
          <w:szCs w:val="24"/>
          <w:lang w:val="en-GB"/>
        </w:rPr>
        <w:t>In</w:t>
      </w:r>
      <w:r w:rsidR="0096099F" w:rsidRPr="00B85E4D">
        <w:rPr>
          <w:rFonts w:cs="Times New Roman"/>
          <w:sz w:val="24"/>
          <w:szCs w:val="24"/>
          <w:lang w:val="en-GB"/>
        </w:rPr>
        <w:t xml:space="preserve"> calculating the exposure value in accordance with the methods set out in Chapters III–V, banks may treat two OTC derivative contracts included in the same netting agreement that </w:t>
      </w:r>
      <w:r w:rsidR="00401023" w:rsidRPr="00B85E4D">
        <w:rPr>
          <w:rFonts w:cs="Times New Roman"/>
          <w:sz w:val="24"/>
          <w:szCs w:val="24"/>
          <w:lang w:val="en-GB"/>
        </w:rPr>
        <w:t xml:space="preserve">are </w:t>
      </w:r>
      <w:r w:rsidR="0096099F" w:rsidRPr="00B85E4D">
        <w:rPr>
          <w:rFonts w:cs="Times New Roman"/>
          <w:sz w:val="24"/>
          <w:szCs w:val="24"/>
          <w:lang w:val="en-GB"/>
        </w:rPr>
        <w:t>perfectly match</w:t>
      </w:r>
      <w:r w:rsidR="00401023" w:rsidRPr="00B85E4D">
        <w:rPr>
          <w:rFonts w:cs="Times New Roman"/>
          <w:sz w:val="24"/>
          <w:szCs w:val="24"/>
          <w:lang w:val="en-GB"/>
        </w:rPr>
        <w:t>ing</w:t>
      </w:r>
      <w:r w:rsidR="0096099F" w:rsidRPr="00B85E4D">
        <w:rPr>
          <w:rFonts w:cs="Times New Roman"/>
          <w:sz w:val="24"/>
          <w:szCs w:val="24"/>
          <w:lang w:val="en-GB"/>
        </w:rPr>
        <w:t xml:space="preserve"> </w:t>
      </w:r>
      <w:r w:rsidR="00401023" w:rsidRPr="00B85E4D">
        <w:rPr>
          <w:sz w:val="24"/>
          <w:szCs w:val="24"/>
          <w:lang w:val="en-GB"/>
        </w:rPr>
        <w:t>as if they were a single contract with a notional principal equal to zero.</w:t>
      </w:r>
    </w:p>
    <w:p w14:paraId="3D7C10CA" w14:textId="7FC86C4C" w:rsidR="0096099F" w:rsidRPr="00B85E4D" w:rsidRDefault="00B03E0C" w:rsidP="00B03E0C">
      <w:pPr>
        <w:spacing w:after="0"/>
        <w:ind w:firstLine="708"/>
        <w:jc w:val="both"/>
        <w:rPr>
          <w:rFonts w:cs="Times New Roman"/>
          <w:sz w:val="24"/>
          <w:szCs w:val="24"/>
          <w:lang w:val="en-GB"/>
        </w:rPr>
      </w:pPr>
      <w:r w:rsidRPr="00B85E4D">
        <w:rPr>
          <w:rFonts w:cs="Times New Roman"/>
          <w:b/>
          <w:bCs/>
          <w:sz w:val="24"/>
          <w:szCs w:val="24"/>
          <w:lang w:val="en-GB"/>
        </w:rPr>
        <w:t>17.</w:t>
      </w:r>
      <w:r w:rsidRPr="00B85E4D">
        <w:rPr>
          <w:rFonts w:cs="Times New Roman"/>
          <w:sz w:val="24"/>
          <w:szCs w:val="24"/>
          <w:lang w:val="en-GB"/>
        </w:rPr>
        <w:t xml:space="preserve"> </w:t>
      </w:r>
      <w:r w:rsidR="0096099F" w:rsidRPr="00B85E4D">
        <w:rPr>
          <w:rFonts w:cs="Times New Roman"/>
          <w:sz w:val="24"/>
          <w:szCs w:val="24"/>
          <w:lang w:val="en-GB"/>
        </w:rPr>
        <w:t>For the purposes of p</w:t>
      </w:r>
      <w:r w:rsidRPr="00B85E4D">
        <w:rPr>
          <w:rFonts w:cs="Times New Roman"/>
          <w:sz w:val="24"/>
          <w:szCs w:val="24"/>
          <w:lang w:val="en-GB"/>
        </w:rPr>
        <w:t>aragraph</w:t>
      </w:r>
      <w:r w:rsidR="0096099F" w:rsidRPr="00B85E4D">
        <w:rPr>
          <w:rFonts w:cs="Times New Roman"/>
          <w:sz w:val="24"/>
          <w:szCs w:val="24"/>
          <w:lang w:val="en-GB"/>
        </w:rPr>
        <w:t xml:space="preserve"> 16, two OTC derivative contracts </w:t>
      </w:r>
      <w:r w:rsidR="00401023" w:rsidRPr="00B85E4D">
        <w:rPr>
          <w:sz w:val="24"/>
          <w:szCs w:val="24"/>
          <w:lang w:val="en-GB"/>
        </w:rPr>
        <w:t>are perfectly matching when they meet all the following conditions</w:t>
      </w:r>
      <w:r w:rsidR="0096099F" w:rsidRPr="00B85E4D">
        <w:rPr>
          <w:rFonts w:cs="Times New Roman"/>
          <w:sz w:val="24"/>
          <w:szCs w:val="24"/>
          <w:lang w:val="en-GB"/>
        </w:rPr>
        <w:t>:</w:t>
      </w:r>
    </w:p>
    <w:p w14:paraId="5B9CF5D0" w14:textId="0F53E631" w:rsidR="0096099F" w:rsidRPr="00B85E4D" w:rsidRDefault="0096099F" w:rsidP="00B03E0C">
      <w:pPr>
        <w:spacing w:after="0"/>
        <w:ind w:firstLine="708"/>
        <w:jc w:val="both"/>
        <w:rPr>
          <w:rFonts w:cs="Times New Roman"/>
          <w:sz w:val="24"/>
          <w:szCs w:val="24"/>
          <w:lang w:val="en-GB"/>
        </w:rPr>
      </w:pPr>
      <w:r w:rsidRPr="00B85E4D">
        <w:rPr>
          <w:rFonts w:cs="Times New Roman"/>
          <w:sz w:val="24"/>
          <w:szCs w:val="24"/>
          <w:lang w:val="en-GB"/>
        </w:rPr>
        <w:t xml:space="preserve">17.1. their risk positions are </w:t>
      </w:r>
      <w:proofErr w:type="gramStart"/>
      <w:r w:rsidRPr="00B85E4D">
        <w:rPr>
          <w:rFonts w:cs="Times New Roman"/>
          <w:sz w:val="24"/>
          <w:szCs w:val="24"/>
          <w:lang w:val="en-GB"/>
        </w:rPr>
        <w:t>opposite;</w:t>
      </w:r>
      <w:proofErr w:type="gramEnd"/>
    </w:p>
    <w:p w14:paraId="2F8F2400" w14:textId="32E8468F" w:rsidR="0096099F" w:rsidRPr="00B85E4D" w:rsidRDefault="0096099F" w:rsidP="00B03E0C">
      <w:pPr>
        <w:spacing w:after="0"/>
        <w:ind w:firstLine="708"/>
        <w:jc w:val="both"/>
        <w:rPr>
          <w:rFonts w:cs="Times New Roman"/>
          <w:sz w:val="24"/>
          <w:szCs w:val="24"/>
          <w:lang w:val="en-GB"/>
        </w:rPr>
      </w:pPr>
      <w:r w:rsidRPr="00B85E4D">
        <w:rPr>
          <w:rFonts w:cs="Times New Roman"/>
          <w:sz w:val="24"/>
          <w:szCs w:val="24"/>
          <w:lang w:val="en-GB"/>
        </w:rPr>
        <w:t xml:space="preserve">17.2. their </w:t>
      </w:r>
      <w:r w:rsidR="00401023" w:rsidRPr="00B85E4D">
        <w:rPr>
          <w:rFonts w:cs="Times New Roman"/>
          <w:sz w:val="24"/>
          <w:szCs w:val="24"/>
          <w:lang w:val="en-GB"/>
        </w:rPr>
        <w:t>features</w:t>
      </w:r>
      <w:r w:rsidRPr="00B85E4D">
        <w:rPr>
          <w:rFonts w:cs="Times New Roman"/>
          <w:sz w:val="24"/>
          <w:szCs w:val="24"/>
          <w:lang w:val="en-GB"/>
        </w:rPr>
        <w:t xml:space="preserve">, </w:t>
      </w:r>
      <w:r w:rsidR="00401023" w:rsidRPr="00B85E4D">
        <w:rPr>
          <w:rFonts w:cs="Times New Roman"/>
          <w:sz w:val="24"/>
          <w:szCs w:val="24"/>
          <w:lang w:val="en-GB"/>
        </w:rPr>
        <w:t xml:space="preserve">with the </w:t>
      </w:r>
      <w:r w:rsidRPr="00B85E4D">
        <w:rPr>
          <w:rFonts w:cs="Times New Roman"/>
          <w:sz w:val="24"/>
          <w:szCs w:val="24"/>
          <w:lang w:val="en-GB"/>
        </w:rPr>
        <w:t>except</w:t>
      </w:r>
      <w:r w:rsidR="00401023" w:rsidRPr="00B85E4D">
        <w:rPr>
          <w:rFonts w:cs="Times New Roman"/>
          <w:sz w:val="24"/>
          <w:szCs w:val="24"/>
          <w:lang w:val="en-GB"/>
        </w:rPr>
        <w:t>ion</w:t>
      </w:r>
      <w:r w:rsidRPr="00B85E4D">
        <w:rPr>
          <w:rFonts w:cs="Times New Roman"/>
          <w:sz w:val="24"/>
          <w:szCs w:val="24"/>
          <w:lang w:val="en-GB"/>
        </w:rPr>
        <w:t xml:space="preserve"> </w:t>
      </w:r>
      <w:r w:rsidR="00401023" w:rsidRPr="00B85E4D">
        <w:rPr>
          <w:rFonts w:cs="Times New Roman"/>
          <w:sz w:val="24"/>
          <w:szCs w:val="24"/>
          <w:lang w:val="en-GB"/>
        </w:rPr>
        <w:t>of</w:t>
      </w:r>
      <w:r w:rsidRPr="00B85E4D">
        <w:rPr>
          <w:rFonts w:cs="Times New Roman"/>
          <w:sz w:val="24"/>
          <w:szCs w:val="24"/>
          <w:lang w:val="en-GB"/>
        </w:rPr>
        <w:t xml:space="preserve"> the trade date, are </w:t>
      </w:r>
      <w:proofErr w:type="gramStart"/>
      <w:r w:rsidRPr="00B85E4D">
        <w:rPr>
          <w:rFonts w:cs="Times New Roman"/>
          <w:sz w:val="24"/>
          <w:szCs w:val="24"/>
          <w:lang w:val="en-GB"/>
        </w:rPr>
        <w:t>identical;</w:t>
      </w:r>
      <w:proofErr w:type="gramEnd"/>
    </w:p>
    <w:p w14:paraId="2164DC02" w14:textId="77777777" w:rsidR="0096099F" w:rsidRPr="00B85E4D" w:rsidRDefault="0096099F" w:rsidP="00B03E0C">
      <w:pPr>
        <w:spacing w:after="0"/>
        <w:ind w:firstLine="708"/>
        <w:jc w:val="both"/>
        <w:rPr>
          <w:rFonts w:cs="Times New Roman"/>
          <w:sz w:val="24"/>
          <w:szCs w:val="24"/>
          <w:lang w:val="en-GB"/>
        </w:rPr>
      </w:pPr>
      <w:r w:rsidRPr="00B85E4D">
        <w:rPr>
          <w:rFonts w:cs="Times New Roman"/>
          <w:sz w:val="24"/>
          <w:szCs w:val="24"/>
          <w:lang w:val="en-GB"/>
        </w:rPr>
        <w:t>17.3. their cash flows fully offset each other (100%).</w:t>
      </w:r>
    </w:p>
    <w:p w14:paraId="329D93B5" w14:textId="5F2CAA3C" w:rsidR="0096099F" w:rsidRPr="00B85E4D" w:rsidRDefault="00B03E0C" w:rsidP="00B03E0C">
      <w:pPr>
        <w:spacing w:after="0"/>
        <w:ind w:firstLine="708"/>
        <w:jc w:val="both"/>
        <w:rPr>
          <w:rFonts w:cs="Times New Roman"/>
          <w:sz w:val="24"/>
          <w:szCs w:val="24"/>
          <w:lang w:val="en-GB"/>
        </w:rPr>
      </w:pPr>
      <w:r w:rsidRPr="00B85E4D">
        <w:rPr>
          <w:rFonts w:cs="Times New Roman"/>
          <w:b/>
          <w:bCs/>
          <w:sz w:val="24"/>
          <w:szCs w:val="24"/>
          <w:lang w:val="en-GB"/>
        </w:rPr>
        <w:t>18.</w:t>
      </w:r>
      <w:r w:rsidRPr="00B85E4D">
        <w:rPr>
          <w:rFonts w:cs="Times New Roman"/>
          <w:sz w:val="24"/>
          <w:szCs w:val="24"/>
          <w:lang w:val="en-GB"/>
        </w:rPr>
        <w:t xml:space="preserve"> </w:t>
      </w:r>
      <w:r w:rsidR="0096099F" w:rsidRPr="00B85E4D">
        <w:rPr>
          <w:rFonts w:cs="Times New Roman"/>
          <w:sz w:val="24"/>
          <w:szCs w:val="24"/>
          <w:lang w:val="en-GB"/>
        </w:rPr>
        <w:t xml:space="preserve">Banks </w:t>
      </w:r>
      <w:r w:rsidR="00401023" w:rsidRPr="00B85E4D">
        <w:rPr>
          <w:sz w:val="24"/>
          <w:szCs w:val="24"/>
          <w:lang w:val="en-GB"/>
        </w:rPr>
        <w:t xml:space="preserve">shall determine the exposure value for exposures arising from long settlement transactions by any of the methods set out in </w:t>
      </w:r>
      <w:r w:rsidR="0096099F" w:rsidRPr="00B85E4D">
        <w:rPr>
          <w:rFonts w:cs="Times New Roman"/>
          <w:sz w:val="24"/>
          <w:szCs w:val="24"/>
          <w:lang w:val="en-GB"/>
        </w:rPr>
        <w:t xml:space="preserve">Chapters III–V, </w:t>
      </w:r>
      <w:r w:rsidR="00401023" w:rsidRPr="00B85E4D">
        <w:rPr>
          <w:sz w:val="24"/>
          <w:szCs w:val="24"/>
          <w:lang w:val="en-GB"/>
        </w:rPr>
        <w:t>regardless of which method the bank has chosen for treating OTC derivatives and repurchase transactions, securities or commodities lending or borrowing transactions, and margin lending transactions</w:t>
      </w:r>
      <w:r w:rsidR="0096099F" w:rsidRPr="00B85E4D">
        <w:rPr>
          <w:rFonts w:cs="Times New Roman"/>
          <w:sz w:val="24"/>
          <w:szCs w:val="24"/>
          <w:lang w:val="en-GB"/>
        </w:rPr>
        <w:t>.</w:t>
      </w:r>
    </w:p>
    <w:p w14:paraId="13876847" w14:textId="02BAC8F1" w:rsidR="0096099F" w:rsidRPr="00B85E4D" w:rsidRDefault="00B03E0C" w:rsidP="00B03E0C">
      <w:pPr>
        <w:spacing w:after="0"/>
        <w:ind w:firstLine="708"/>
        <w:jc w:val="both"/>
        <w:rPr>
          <w:rFonts w:cs="Times New Roman"/>
          <w:sz w:val="24"/>
          <w:szCs w:val="24"/>
          <w:lang w:val="en-GB"/>
        </w:rPr>
      </w:pPr>
      <w:r w:rsidRPr="00B85E4D">
        <w:rPr>
          <w:rFonts w:cs="Times New Roman"/>
          <w:b/>
          <w:bCs/>
          <w:sz w:val="24"/>
          <w:szCs w:val="24"/>
          <w:lang w:val="en-GB"/>
        </w:rPr>
        <w:t>19.</w:t>
      </w:r>
      <w:r w:rsidRPr="00B85E4D">
        <w:rPr>
          <w:rFonts w:cs="Times New Roman"/>
          <w:sz w:val="24"/>
          <w:szCs w:val="24"/>
          <w:lang w:val="en-GB"/>
        </w:rPr>
        <w:t xml:space="preserve"> </w:t>
      </w:r>
      <w:r w:rsidR="0096099F" w:rsidRPr="00B85E4D">
        <w:rPr>
          <w:rFonts w:cs="Times New Roman"/>
          <w:sz w:val="24"/>
          <w:szCs w:val="24"/>
          <w:lang w:val="en-GB"/>
        </w:rPr>
        <w:t xml:space="preserve">Banks shall report their exposures to counterparty credit risk in accordance with the requirements established by the Instruction on the submission of COREP reports by banks for </w:t>
      </w:r>
      <w:r w:rsidR="0096099F" w:rsidRPr="00B85E4D">
        <w:rPr>
          <w:rFonts w:cs="Times New Roman"/>
          <w:sz w:val="24"/>
          <w:szCs w:val="24"/>
          <w:lang w:val="en-GB"/>
        </w:rPr>
        <w:lastRenderedPageBreak/>
        <w:t>supervisory purposes, approved by Decision No. 117/2018 of the Executive Committee of the National Bank of Moldova.</w:t>
      </w:r>
    </w:p>
    <w:p w14:paraId="75B0AAD4" w14:textId="77777777" w:rsidR="003866E7" w:rsidRPr="00B85E4D" w:rsidRDefault="003866E7" w:rsidP="003866E7">
      <w:pPr>
        <w:spacing w:after="0"/>
        <w:ind w:firstLine="708"/>
        <w:jc w:val="center"/>
        <w:rPr>
          <w:rFonts w:cs="Times New Roman"/>
          <w:i/>
          <w:iCs/>
          <w:sz w:val="24"/>
          <w:szCs w:val="24"/>
          <w:lang w:val="en-GB"/>
        </w:rPr>
      </w:pPr>
      <w:r w:rsidRPr="00B85E4D">
        <w:rPr>
          <w:rFonts w:cs="Times New Roman"/>
          <w:i/>
          <w:iCs/>
          <w:sz w:val="24"/>
          <w:szCs w:val="24"/>
          <w:lang w:val="en-GB"/>
        </w:rPr>
        <w:t xml:space="preserve">Section 2 </w:t>
      </w:r>
    </w:p>
    <w:p w14:paraId="4B60DA92" w14:textId="77777777" w:rsidR="003866E7" w:rsidRPr="00B85E4D" w:rsidRDefault="003866E7" w:rsidP="003866E7">
      <w:pPr>
        <w:spacing w:after="0"/>
        <w:ind w:firstLine="708"/>
        <w:jc w:val="center"/>
        <w:rPr>
          <w:rFonts w:cs="Times New Roman"/>
          <w:b/>
          <w:bCs/>
          <w:sz w:val="24"/>
          <w:szCs w:val="24"/>
          <w:lang w:val="en-GB"/>
        </w:rPr>
      </w:pPr>
      <w:r w:rsidRPr="00B85E4D">
        <w:rPr>
          <w:rFonts w:cs="Times New Roman"/>
          <w:b/>
          <w:bCs/>
          <w:sz w:val="24"/>
          <w:szCs w:val="24"/>
          <w:lang w:val="en-GB"/>
        </w:rPr>
        <w:t xml:space="preserve">Conditions for using simplified </w:t>
      </w:r>
      <w:proofErr w:type="gramStart"/>
      <w:r w:rsidRPr="00B85E4D">
        <w:rPr>
          <w:rFonts w:cs="Times New Roman"/>
          <w:b/>
          <w:bCs/>
          <w:sz w:val="24"/>
          <w:szCs w:val="24"/>
          <w:lang w:val="en-GB"/>
        </w:rPr>
        <w:t>methods</w:t>
      </w:r>
      <w:proofErr w:type="gramEnd"/>
    </w:p>
    <w:p w14:paraId="096606C9" w14:textId="15968B0B" w:rsidR="003866E7" w:rsidRPr="00B85E4D" w:rsidRDefault="003866E7" w:rsidP="003866E7">
      <w:pPr>
        <w:spacing w:after="0"/>
        <w:ind w:firstLine="708"/>
        <w:jc w:val="center"/>
        <w:rPr>
          <w:rFonts w:cs="Times New Roman"/>
          <w:b/>
          <w:bCs/>
          <w:sz w:val="24"/>
          <w:szCs w:val="24"/>
          <w:lang w:val="en-GB"/>
        </w:rPr>
      </w:pPr>
      <w:r w:rsidRPr="00B85E4D">
        <w:rPr>
          <w:rFonts w:cs="Times New Roman"/>
          <w:b/>
          <w:bCs/>
          <w:sz w:val="24"/>
          <w:szCs w:val="24"/>
          <w:lang w:val="en-GB"/>
        </w:rPr>
        <w:t xml:space="preserve"> for calculating the exposure value</w:t>
      </w:r>
    </w:p>
    <w:p w14:paraId="2A1F14BA" w14:textId="77777777" w:rsidR="003866E7" w:rsidRPr="00B85E4D" w:rsidRDefault="003866E7" w:rsidP="003866E7">
      <w:pPr>
        <w:spacing w:after="0"/>
        <w:ind w:firstLine="708"/>
        <w:jc w:val="both"/>
        <w:rPr>
          <w:rFonts w:cs="Times New Roman"/>
          <w:sz w:val="24"/>
          <w:szCs w:val="24"/>
          <w:lang w:val="en-GB"/>
        </w:rPr>
      </w:pPr>
    </w:p>
    <w:p w14:paraId="056AF6E5" w14:textId="2684714F" w:rsidR="003866E7" w:rsidRPr="00B85E4D" w:rsidRDefault="003866E7" w:rsidP="003866E7">
      <w:pPr>
        <w:spacing w:after="0"/>
        <w:ind w:firstLine="708"/>
        <w:jc w:val="both"/>
        <w:rPr>
          <w:rFonts w:cs="Times New Roman"/>
          <w:sz w:val="24"/>
          <w:szCs w:val="24"/>
          <w:lang w:val="en-GB"/>
        </w:rPr>
      </w:pPr>
      <w:r w:rsidRPr="00B85E4D">
        <w:rPr>
          <w:rFonts w:cs="Times New Roman"/>
          <w:b/>
          <w:bCs/>
          <w:sz w:val="24"/>
          <w:szCs w:val="24"/>
          <w:lang w:val="en-GB"/>
        </w:rPr>
        <w:t>20.</w:t>
      </w:r>
      <w:r w:rsidRPr="00B85E4D">
        <w:rPr>
          <w:rFonts w:cs="Times New Roman"/>
          <w:sz w:val="24"/>
          <w:szCs w:val="24"/>
          <w:lang w:val="en-GB"/>
        </w:rPr>
        <w:t xml:space="preserve"> The bank may calculate the exposure value for its derivative positions in accordance with the method set out in Chapter IV, provided that the volume of its on- and off-balance-sheet derivative business is equal to or less than each of the following thresholds, based on an assessment carried out on a monthly basis using the data as of the last day of the month:</w:t>
      </w:r>
    </w:p>
    <w:p w14:paraId="738E6211" w14:textId="77777777" w:rsidR="003866E7" w:rsidRPr="00B85E4D" w:rsidRDefault="003866E7" w:rsidP="003866E7">
      <w:pPr>
        <w:spacing w:after="0"/>
        <w:ind w:firstLine="708"/>
        <w:jc w:val="both"/>
        <w:rPr>
          <w:rFonts w:cs="Times New Roman"/>
          <w:sz w:val="24"/>
          <w:szCs w:val="24"/>
          <w:lang w:val="en-GB"/>
        </w:rPr>
      </w:pPr>
      <w:r w:rsidRPr="00B85E4D">
        <w:rPr>
          <w:rFonts w:cs="Times New Roman"/>
          <w:sz w:val="24"/>
          <w:szCs w:val="24"/>
          <w:lang w:val="en-GB"/>
        </w:rPr>
        <w:t xml:space="preserve">20.1. 10 % of the bank’s total </w:t>
      </w:r>
      <w:proofErr w:type="gramStart"/>
      <w:r w:rsidRPr="00B85E4D">
        <w:rPr>
          <w:rFonts w:cs="Times New Roman"/>
          <w:sz w:val="24"/>
          <w:szCs w:val="24"/>
          <w:lang w:val="en-GB"/>
        </w:rPr>
        <w:t>assets;</w:t>
      </w:r>
      <w:proofErr w:type="gramEnd"/>
    </w:p>
    <w:p w14:paraId="38550CD4" w14:textId="77777777" w:rsidR="003866E7" w:rsidRPr="00B85E4D" w:rsidRDefault="003866E7" w:rsidP="003866E7">
      <w:pPr>
        <w:spacing w:after="0"/>
        <w:ind w:firstLine="708"/>
        <w:jc w:val="both"/>
        <w:rPr>
          <w:rFonts w:cs="Times New Roman"/>
          <w:sz w:val="24"/>
          <w:szCs w:val="24"/>
          <w:lang w:val="en-GB"/>
        </w:rPr>
      </w:pPr>
      <w:r w:rsidRPr="00B85E4D">
        <w:rPr>
          <w:rFonts w:cs="Times New Roman"/>
          <w:sz w:val="24"/>
          <w:szCs w:val="24"/>
          <w:lang w:val="en-GB"/>
        </w:rPr>
        <w:t>20.2. the equivalent in Moldovan lei of EUR 300 million.</w:t>
      </w:r>
    </w:p>
    <w:p w14:paraId="119EFF10" w14:textId="71685D93" w:rsidR="003866E7" w:rsidRPr="00B85E4D" w:rsidRDefault="003866E7" w:rsidP="003866E7">
      <w:pPr>
        <w:spacing w:after="0"/>
        <w:ind w:firstLine="708"/>
        <w:jc w:val="both"/>
        <w:rPr>
          <w:rFonts w:cs="Times New Roman"/>
          <w:sz w:val="24"/>
          <w:szCs w:val="24"/>
          <w:lang w:val="en-GB"/>
        </w:rPr>
      </w:pPr>
      <w:r w:rsidRPr="00B85E4D">
        <w:rPr>
          <w:rFonts w:cs="Times New Roman"/>
          <w:b/>
          <w:bCs/>
          <w:sz w:val="24"/>
          <w:szCs w:val="24"/>
          <w:lang w:val="en-GB"/>
        </w:rPr>
        <w:t>21.</w:t>
      </w:r>
      <w:r w:rsidRPr="00B85E4D">
        <w:rPr>
          <w:rFonts w:cs="Times New Roman"/>
          <w:sz w:val="24"/>
          <w:szCs w:val="24"/>
          <w:lang w:val="en-GB"/>
        </w:rPr>
        <w:t xml:space="preserve"> The bank may calculate the exposure value for its derivative positions in accordance with the method set out in Chapter V, provided that the volume of its on- and off-balance-sheet derivative business is equal to or less than each of the following thresholds, based on an assessment carried out on a monthly basis using the data as of the last day of the month:</w:t>
      </w:r>
    </w:p>
    <w:p w14:paraId="1BABC223" w14:textId="77777777" w:rsidR="003866E7" w:rsidRPr="00B85E4D" w:rsidRDefault="003866E7" w:rsidP="003866E7">
      <w:pPr>
        <w:spacing w:after="0"/>
        <w:ind w:firstLine="708"/>
        <w:jc w:val="both"/>
        <w:rPr>
          <w:rFonts w:cs="Times New Roman"/>
          <w:sz w:val="24"/>
          <w:szCs w:val="24"/>
          <w:lang w:val="en-GB"/>
        </w:rPr>
      </w:pPr>
      <w:r w:rsidRPr="00B85E4D">
        <w:rPr>
          <w:rFonts w:cs="Times New Roman"/>
          <w:sz w:val="24"/>
          <w:szCs w:val="24"/>
          <w:lang w:val="en-GB"/>
        </w:rPr>
        <w:t xml:space="preserve">21.1. 5 % of the bank’s total </w:t>
      </w:r>
      <w:proofErr w:type="gramStart"/>
      <w:r w:rsidRPr="00B85E4D">
        <w:rPr>
          <w:rFonts w:cs="Times New Roman"/>
          <w:sz w:val="24"/>
          <w:szCs w:val="24"/>
          <w:lang w:val="en-GB"/>
        </w:rPr>
        <w:t>assets;</w:t>
      </w:r>
      <w:proofErr w:type="gramEnd"/>
    </w:p>
    <w:p w14:paraId="27436A78" w14:textId="77777777" w:rsidR="003866E7" w:rsidRPr="00B85E4D" w:rsidRDefault="003866E7" w:rsidP="003866E7">
      <w:pPr>
        <w:spacing w:after="0"/>
        <w:ind w:firstLine="708"/>
        <w:jc w:val="both"/>
        <w:rPr>
          <w:rFonts w:cs="Times New Roman"/>
          <w:sz w:val="24"/>
          <w:szCs w:val="24"/>
          <w:lang w:val="en-GB"/>
        </w:rPr>
      </w:pPr>
      <w:r w:rsidRPr="00B85E4D">
        <w:rPr>
          <w:rFonts w:cs="Times New Roman"/>
          <w:sz w:val="24"/>
          <w:szCs w:val="24"/>
          <w:lang w:val="en-GB"/>
        </w:rPr>
        <w:t>21.2. the equivalent in Moldovan lei of EUR 100 million.</w:t>
      </w:r>
    </w:p>
    <w:p w14:paraId="35E028DD" w14:textId="2CDC6FC9" w:rsidR="003866E7" w:rsidRPr="00B85E4D" w:rsidRDefault="003866E7" w:rsidP="003866E7">
      <w:pPr>
        <w:spacing w:after="0"/>
        <w:ind w:firstLine="708"/>
        <w:jc w:val="both"/>
        <w:rPr>
          <w:rFonts w:cs="Times New Roman"/>
          <w:sz w:val="24"/>
          <w:szCs w:val="24"/>
          <w:lang w:val="en-GB"/>
        </w:rPr>
      </w:pPr>
      <w:r w:rsidRPr="00B85E4D">
        <w:rPr>
          <w:rFonts w:cs="Times New Roman"/>
          <w:b/>
          <w:bCs/>
          <w:sz w:val="24"/>
          <w:szCs w:val="24"/>
          <w:lang w:val="en-GB"/>
        </w:rPr>
        <w:t>22.</w:t>
      </w:r>
      <w:r w:rsidRPr="00B85E4D">
        <w:rPr>
          <w:rFonts w:cs="Times New Roman"/>
          <w:sz w:val="24"/>
          <w:szCs w:val="24"/>
          <w:lang w:val="en-GB"/>
        </w:rPr>
        <w:t xml:space="preserve"> For the purposes of paragraphs 20 and 21, banks shall calculate the volume of their on- and off-balance-sheet derivative business based on the data as of the last day of each month, in accordance with the following requirements:</w:t>
      </w:r>
    </w:p>
    <w:p w14:paraId="738C6BE4" w14:textId="77777777" w:rsidR="003866E7" w:rsidRPr="00B85E4D" w:rsidRDefault="003866E7" w:rsidP="003866E7">
      <w:pPr>
        <w:spacing w:after="0"/>
        <w:ind w:firstLine="708"/>
        <w:jc w:val="both"/>
        <w:rPr>
          <w:rFonts w:cs="Times New Roman"/>
          <w:sz w:val="24"/>
          <w:szCs w:val="24"/>
          <w:lang w:val="en-GB"/>
        </w:rPr>
      </w:pPr>
      <w:r w:rsidRPr="00B85E4D">
        <w:rPr>
          <w:rFonts w:cs="Times New Roman"/>
          <w:sz w:val="24"/>
          <w:szCs w:val="24"/>
          <w:lang w:val="en-GB"/>
        </w:rPr>
        <w:t xml:space="preserve">22.1. Derivative positions shall be valued at their market value as of the valuation date; where the market value of a position is not available on that date, banks shall use the fair value of the position when available; where neither market value nor fair value is available, banks shall use the most recent market or fair value for that </w:t>
      </w:r>
      <w:proofErr w:type="gramStart"/>
      <w:r w:rsidRPr="00B85E4D">
        <w:rPr>
          <w:rFonts w:cs="Times New Roman"/>
          <w:sz w:val="24"/>
          <w:szCs w:val="24"/>
          <w:lang w:val="en-GB"/>
        </w:rPr>
        <w:t>position;</w:t>
      </w:r>
      <w:proofErr w:type="gramEnd"/>
    </w:p>
    <w:p w14:paraId="6D140036" w14:textId="77777777" w:rsidR="003866E7" w:rsidRPr="00B85E4D" w:rsidRDefault="003866E7" w:rsidP="003866E7">
      <w:pPr>
        <w:spacing w:after="0"/>
        <w:ind w:firstLine="708"/>
        <w:jc w:val="both"/>
        <w:rPr>
          <w:rFonts w:cs="Times New Roman"/>
          <w:sz w:val="24"/>
          <w:szCs w:val="24"/>
          <w:lang w:val="en-GB"/>
        </w:rPr>
      </w:pPr>
      <w:r w:rsidRPr="00B85E4D">
        <w:rPr>
          <w:rFonts w:cs="Times New Roman"/>
          <w:sz w:val="24"/>
          <w:szCs w:val="24"/>
          <w:lang w:val="en-GB"/>
        </w:rPr>
        <w:t xml:space="preserve">22.2. the absolute value of the aggregated long positions shall be added to the absolute value of the aggregated short </w:t>
      </w:r>
      <w:proofErr w:type="gramStart"/>
      <w:r w:rsidRPr="00B85E4D">
        <w:rPr>
          <w:rFonts w:cs="Times New Roman"/>
          <w:sz w:val="24"/>
          <w:szCs w:val="24"/>
          <w:lang w:val="en-GB"/>
        </w:rPr>
        <w:t>positions;</w:t>
      </w:r>
      <w:proofErr w:type="gramEnd"/>
    </w:p>
    <w:p w14:paraId="33591785" w14:textId="77777777" w:rsidR="003866E7" w:rsidRPr="00B85E4D" w:rsidRDefault="003866E7" w:rsidP="003866E7">
      <w:pPr>
        <w:spacing w:after="0"/>
        <w:ind w:firstLine="708"/>
        <w:jc w:val="both"/>
        <w:rPr>
          <w:rFonts w:cs="Times New Roman"/>
          <w:sz w:val="24"/>
          <w:szCs w:val="24"/>
          <w:lang w:val="en-GB"/>
        </w:rPr>
      </w:pPr>
      <w:r w:rsidRPr="00B85E4D">
        <w:rPr>
          <w:rFonts w:cs="Times New Roman"/>
          <w:sz w:val="24"/>
          <w:szCs w:val="24"/>
          <w:lang w:val="en-GB"/>
        </w:rPr>
        <w:t>22.3. all derivative positions shall be included, except credit derivatives recognised as internal hedges against credit risk exposures outside the trading book.</w:t>
      </w:r>
    </w:p>
    <w:p w14:paraId="13F58311" w14:textId="3D419382" w:rsidR="003866E7" w:rsidRPr="00B85E4D" w:rsidRDefault="003866E7" w:rsidP="003866E7">
      <w:pPr>
        <w:spacing w:after="0"/>
        <w:ind w:firstLine="708"/>
        <w:jc w:val="both"/>
        <w:rPr>
          <w:rFonts w:cs="Times New Roman"/>
          <w:sz w:val="24"/>
          <w:szCs w:val="24"/>
          <w:lang w:val="en-GB"/>
        </w:rPr>
      </w:pPr>
      <w:r w:rsidRPr="00B85E4D">
        <w:rPr>
          <w:rFonts w:cs="Times New Roman"/>
          <w:b/>
          <w:bCs/>
          <w:sz w:val="24"/>
          <w:szCs w:val="24"/>
          <w:lang w:val="en-GB"/>
        </w:rPr>
        <w:t>23.</w:t>
      </w:r>
      <w:r w:rsidRPr="00B85E4D">
        <w:rPr>
          <w:rFonts w:cs="Times New Roman"/>
          <w:sz w:val="24"/>
          <w:szCs w:val="24"/>
          <w:lang w:val="en-GB"/>
        </w:rPr>
        <w:t xml:space="preserve"> For the purposes of paragraph 22, long and short positions shall have the same meaning as in paragraph 136 of Regulation No 109/2018. The aggregated long (short) position value shall equal the sum of the individual long (short) position values included in the calculation in accordance with sub-paragraph 22.3.</w:t>
      </w:r>
    </w:p>
    <w:p w14:paraId="7D5BAB3C" w14:textId="0C01335D" w:rsidR="003866E7" w:rsidRPr="00B85E4D" w:rsidRDefault="003866E7" w:rsidP="003866E7">
      <w:pPr>
        <w:spacing w:after="0"/>
        <w:ind w:firstLine="708"/>
        <w:jc w:val="both"/>
        <w:rPr>
          <w:rFonts w:cs="Times New Roman"/>
          <w:sz w:val="24"/>
          <w:szCs w:val="24"/>
          <w:lang w:val="en-GB"/>
        </w:rPr>
      </w:pPr>
      <w:r w:rsidRPr="00B85E4D">
        <w:rPr>
          <w:rFonts w:cs="Times New Roman"/>
          <w:b/>
          <w:bCs/>
          <w:sz w:val="24"/>
          <w:szCs w:val="24"/>
          <w:lang w:val="en-GB"/>
        </w:rPr>
        <w:t>24.</w:t>
      </w:r>
      <w:r w:rsidRPr="00B85E4D">
        <w:rPr>
          <w:rFonts w:cs="Times New Roman"/>
          <w:sz w:val="24"/>
          <w:szCs w:val="24"/>
          <w:lang w:val="en-GB"/>
        </w:rPr>
        <w:t xml:space="preserve"> By way of derogation from paragraphs 20 or 21, where the bank exceeds the limits referred to at those points on an individual basis but remains within those limits on a consolidated basis, the bank may, with the prior approval of the National Bank of Moldova, apply one of the methods set out in Chapters III or IV.</w:t>
      </w:r>
    </w:p>
    <w:p w14:paraId="5B8782A6" w14:textId="13EEE573" w:rsidR="00A832FF" w:rsidRPr="00B85E4D" w:rsidRDefault="00A832FF" w:rsidP="00A832FF">
      <w:pPr>
        <w:spacing w:after="0"/>
        <w:ind w:firstLine="708"/>
        <w:jc w:val="both"/>
        <w:rPr>
          <w:rFonts w:cs="Times New Roman"/>
          <w:sz w:val="24"/>
          <w:szCs w:val="24"/>
          <w:lang w:val="en-GB"/>
        </w:rPr>
      </w:pPr>
      <w:r w:rsidRPr="00B85E4D">
        <w:rPr>
          <w:rFonts w:cs="Times New Roman"/>
          <w:sz w:val="24"/>
          <w:szCs w:val="24"/>
          <w:lang w:val="en-GB"/>
        </w:rPr>
        <w:t xml:space="preserve"> </w:t>
      </w:r>
      <w:r w:rsidRPr="00B85E4D">
        <w:rPr>
          <w:rFonts w:cs="Times New Roman"/>
          <w:b/>
          <w:bCs/>
          <w:sz w:val="24"/>
          <w:szCs w:val="24"/>
          <w:lang w:val="en-GB"/>
        </w:rPr>
        <w:t>25.</w:t>
      </w:r>
      <w:r w:rsidRPr="00B85E4D">
        <w:rPr>
          <w:rFonts w:cs="Times New Roman"/>
          <w:sz w:val="24"/>
          <w:szCs w:val="24"/>
          <w:lang w:val="en-GB"/>
        </w:rPr>
        <w:t xml:space="preserve"> </w:t>
      </w:r>
      <w:proofErr w:type="gramStart"/>
      <w:r w:rsidRPr="00B85E4D">
        <w:rPr>
          <w:rFonts w:cs="Times New Roman"/>
          <w:sz w:val="24"/>
          <w:szCs w:val="24"/>
          <w:lang w:val="en-GB"/>
        </w:rPr>
        <w:t>For the purpose of</w:t>
      </w:r>
      <w:proofErr w:type="gramEnd"/>
      <w:r w:rsidRPr="00B85E4D">
        <w:rPr>
          <w:rFonts w:cs="Times New Roman"/>
          <w:sz w:val="24"/>
          <w:szCs w:val="24"/>
          <w:lang w:val="en-GB"/>
        </w:rPr>
        <w:t xml:space="preserve"> obtaining prior approval, the bank shall submit to the National Bank of Moldova an application accompanied by the documents and information substantiating the request and/or confirming whether the requirements set out in paragraphs 24 and 34, as applicable, have been met.</w:t>
      </w:r>
    </w:p>
    <w:p w14:paraId="789C7748" w14:textId="4EE52D5D"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26.</w:t>
      </w:r>
      <w:r w:rsidRPr="00B85E4D">
        <w:rPr>
          <w:rFonts w:cs="Times New Roman"/>
          <w:sz w:val="24"/>
          <w:szCs w:val="24"/>
          <w:lang w:val="en-GB"/>
        </w:rPr>
        <w:t xml:space="preserve"> The application, as well as the documents and information specified in the annex to this Regulation, shall be submitted to the National Bank of Moldova in the Romanian language and signed by the person authorised by the bank.</w:t>
      </w:r>
    </w:p>
    <w:p w14:paraId="2598FEC4" w14:textId="77777777" w:rsidR="00A832FF" w:rsidRPr="00B85E4D" w:rsidRDefault="00A832FF" w:rsidP="00A832FF">
      <w:pPr>
        <w:spacing w:after="0"/>
        <w:ind w:firstLine="708"/>
        <w:jc w:val="both"/>
        <w:rPr>
          <w:rFonts w:cs="Times New Roman"/>
          <w:sz w:val="24"/>
          <w:szCs w:val="24"/>
          <w:lang w:val="en-GB"/>
        </w:rPr>
      </w:pPr>
    </w:p>
    <w:p w14:paraId="7972778C" w14:textId="490A38A7"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27.</w:t>
      </w:r>
      <w:r w:rsidRPr="00B85E4D">
        <w:rPr>
          <w:rFonts w:cs="Times New Roman"/>
          <w:sz w:val="24"/>
          <w:szCs w:val="24"/>
          <w:lang w:val="en-GB"/>
        </w:rPr>
        <w:t xml:space="preserve"> Where the documents or information referred to in paragraph 25 do not comply with paragraphs 25 and 26, the National Bank of Moldova shall notify the bank in writing within five (5) working days from the date of submission of the application. The bank shall, within ten (10) working days from the date of receipt of the letter from the National Bank of Moldova, complete and submit to the latter the missing documents and/or information.</w:t>
      </w:r>
    </w:p>
    <w:p w14:paraId="25390E99" w14:textId="282C3FC7"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28.</w:t>
      </w:r>
      <w:r w:rsidRPr="00B85E4D">
        <w:rPr>
          <w:rFonts w:cs="Times New Roman"/>
          <w:sz w:val="24"/>
          <w:szCs w:val="24"/>
          <w:lang w:val="en-GB"/>
        </w:rPr>
        <w:t xml:space="preserve"> Where the bank fails to complete the set of documents and information within the term referred to in paragraph 27, the National Bank of Moldova shall inform the bank, within three (3) </w:t>
      </w:r>
      <w:r w:rsidRPr="00B85E4D">
        <w:rPr>
          <w:rFonts w:cs="Times New Roman"/>
          <w:sz w:val="24"/>
          <w:szCs w:val="24"/>
          <w:lang w:val="en-GB"/>
        </w:rPr>
        <w:lastRenderedPageBreak/>
        <w:t>working days from the expiry of the given term, about the termination of the administrative procedure.</w:t>
      </w:r>
    </w:p>
    <w:p w14:paraId="0C842690" w14:textId="4497785B"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29.</w:t>
      </w:r>
      <w:r w:rsidRPr="00B85E4D">
        <w:rPr>
          <w:rFonts w:cs="Times New Roman"/>
          <w:sz w:val="24"/>
          <w:szCs w:val="24"/>
          <w:lang w:val="en-GB"/>
        </w:rPr>
        <w:t xml:space="preserve"> Within sixty (60) working days from the date of receipt of the complete set of documents and information in accordance with this Chapter, the National Bank of Moldova shall issue the corresponding prior approval or reject the application, informing the bank in writing of its decision. Where additional examination or processing time is required, the term may be extended by up to thirty (30) working days, with written notification to the bank.</w:t>
      </w:r>
    </w:p>
    <w:p w14:paraId="4D17FF9D" w14:textId="01F10458"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30.</w:t>
      </w:r>
      <w:r w:rsidRPr="00B85E4D">
        <w:rPr>
          <w:rFonts w:cs="Times New Roman"/>
          <w:sz w:val="24"/>
          <w:szCs w:val="24"/>
          <w:lang w:val="en-GB"/>
        </w:rPr>
        <w:t xml:space="preserve"> Where the documents and information submitted under this Chapter are insufficient to take a decision on the request for prior approval referred to in paragraph 24 or 34, as applicable, the National Bank of Moldova may request additional documents and information.</w:t>
      </w:r>
    </w:p>
    <w:p w14:paraId="5BF0AEDE" w14:textId="164049CF"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31.</w:t>
      </w:r>
      <w:r w:rsidRPr="00B85E4D">
        <w:rPr>
          <w:rFonts w:cs="Times New Roman"/>
          <w:sz w:val="24"/>
          <w:szCs w:val="24"/>
          <w:lang w:val="en-GB"/>
        </w:rPr>
        <w:t xml:space="preserve"> The bank shall provide the additional documents and information within the deadline indicated by the National Bank of Moldova, during which period the term provided for in paragraph 29 shall be suspended.</w:t>
      </w:r>
    </w:p>
    <w:p w14:paraId="0763DE55" w14:textId="3B5C59A0"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32.</w:t>
      </w:r>
      <w:r w:rsidRPr="00B85E4D">
        <w:rPr>
          <w:rFonts w:cs="Times New Roman"/>
          <w:sz w:val="24"/>
          <w:szCs w:val="24"/>
          <w:lang w:val="en-GB"/>
        </w:rPr>
        <w:t xml:space="preserve"> In case of rejection of the application for prior approval, the grounds for rejection shall be specified. The following shall constitute grounds for rejection of the request for prior approval by the National Bank of Moldova:</w:t>
      </w:r>
    </w:p>
    <w:p w14:paraId="1D55262B" w14:textId="1FE77439" w:rsidR="00A832FF" w:rsidRPr="00B85E4D" w:rsidRDefault="00A832FF" w:rsidP="00A832FF">
      <w:pPr>
        <w:spacing w:after="0"/>
        <w:ind w:firstLine="708"/>
        <w:jc w:val="both"/>
        <w:rPr>
          <w:rFonts w:cs="Times New Roman"/>
          <w:sz w:val="24"/>
          <w:szCs w:val="24"/>
          <w:lang w:val="en-GB"/>
        </w:rPr>
      </w:pPr>
      <w:r w:rsidRPr="00B85E4D">
        <w:rPr>
          <w:rFonts w:cs="Times New Roman"/>
          <w:sz w:val="24"/>
          <w:szCs w:val="24"/>
          <w:lang w:val="en-GB"/>
        </w:rPr>
        <w:t xml:space="preserve">32.1. failure to comply with the requirements set out in paragraph 24 or 34, as applicable, for obtaining the respective prior </w:t>
      </w:r>
      <w:proofErr w:type="gramStart"/>
      <w:r w:rsidRPr="00B85E4D">
        <w:rPr>
          <w:rFonts w:cs="Times New Roman"/>
          <w:sz w:val="24"/>
          <w:szCs w:val="24"/>
          <w:lang w:val="en-GB"/>
        </w:rPr>
        <w:t>approval;</w:t>
      </w:r>
      <w:proofErr w:type="gramEnd"/>
    </w:p>
    <w:p w14:paraId="66A5F771" w14:textId="0D62700C" w:rsidR="00A832FF" w:rsidRPr="00B85E4D" w:rsidRDefault="00A832FF" w:rsidP="00A832FF">
      <w:pPr>
        <w:spacing w:after="0"/>
        <w:ind w:firstLine="708"/>
        <w:jc w:val="both"/>
        <w:rPr>
          <w:rFonts w:cs="Times New Roman"/>
          <w:sz w:val="24"/>
          <w:szCs w:val="24"/>
          <w:lang w:val="en-GB"/>
        </w:rPr>
      </w:pPr>
      <w:r w:rsidRPr="00B85E4D">
        <w:rPr>
          <w:rFonts w:cs="Times New Roman"/>
          <w:sz w:val="24"/>
          <w:szCs w:val="24"/>
          <w:lang w:val="en-GB"/>
        </w:rPr>
        <w:t xml:space="preserve">32.2. submission to the National Bank of Moldova of erroneous, false, and/or contradictory </w:t>
      </w:r>
      <w:proofErr w:type="gramStart"/>
      <w:r w:rsidRPr="00B85E4D">
        <w:rPr>
          <w:rFonts w:cs="Times New Roman"/>
          <w:sz w:val="24"/>
          <w:szCs w:val="24"/>
          <w:lang w:val="en-GB"/>
        </w:rPr>
        <w:t>information;</w:t>
      </w:r>
      <w:proofErr w:type="gramEnd"/>
    </w:p>
    <w:p w14:paraId="08129042" w14:textId="14713ED3" w:rsidR="00A832FF" w:rsidRPr="00B85E4D" w:rsidRDefault="00A832FF" w:rsidP="00A832FF">
      <w:pPr>
        <w:spacing w:after="0"/>
        <w:ind w:firstLine="708"/>
        <w:jc w:val="both"/>
        <w:rPr>
          <w:rFonts w:cs="Times New Roman"/>
          <w:sz w:val="24"/>
          <w:szCs w:val="24"/>
          <w:lang w:val="en-GB"/>
        </w:rPr>
      </w:pPr>
      <w:r w:rsidRPr="00B85E4D">
        <w:rPr>
          <w:rFonts w:cs="Times New Roman"/>
          <w:sz w:val="24"/>
          <w:szCs w:val="24"/>
          <w:lang w:val="en-GB"/>
        </w:rPr>
        <w:t>32.3. failure to submit documents and information demonstrating that the bank meets the requirements set out in paragraph 24 or 34, as applicable, for obtaining the respective prior approval.</w:t>
      </w:r>
    </w:p>
    <w:p w14:paraId="463BAED9" w14:textId="12C0E9C8" w:rsidR="00A832FF" w:rsidRPr="00B85E4D" w:rsidRDefault="00A832FF" w:rsidP="00A832FF">
      <w:pPr>
        <w:spacing w:after="0"/>
        <w:ind w:firstLine="708"/>
        <w:jc w:val="both"/>
        <w:rPr>
          <w:rFonts w:cs="Times New Roman"/>
          <w:sz w:val="24"/>
          <w:szCs w:val="24"/>
          <w:lang w:val="en-GB"/>
        </w:rPr>
      </w:pPr>
      <w:r w:rsidRPr="00B85E4D">
        <w:rPr>
          <w:rFonts w:cs="Times New Roman"/>
          <w:sz w:val="24"/>
          <w:szCs w:val="24"/>
          <w:lang w:val="en-GB"/>
        </w:rPr>
        <w:t>33. The bank shall have the right to apply one of the methods set out in Chapters III or IV, in the context of paragraph 24, from the date of issuance of the prior approval.</w:t>
      </w:r>
    </w:p>
    <w:p w14:paraId="3EAD87B9" w14:textId="32C30356"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34.</w:t>
      </w:r>
      <w:r w:rsidRPr="00B85E4D">
        <w:rPr>
          <w:rFonts w:cs="Times New Roman"/>
          <w:sz w:val="24"/>
          <w:szCs w:val="24"/>
          <w:lang w:val="en-GB"/>
        </w:rPr>
        <w:t xml:space="preserve"> Subject to the prior approval of the National Bank of Moldova, banks shall apply the methods set out in Chapters IV or V that they use or cease to use, as applicable, to calculate the exposure value for their derivative positions.</w:t>
      </w:r>
    </w:p>
    <w:p w14:paraId="6870EA6F" w14:textId="7E63B834"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35.</w:t>
      </w:r>
      <w:r w:rsidRPr="00B85E4D">
        <w:rPr>
          <w:rFonts w:cs="Times New Roman"/>
          <w:sz w:val="24"/>
          <w:szCs w:val="24"/>
          <w:lang w:val="en-GB"/>
        </w:rPr>
        <w:t xml:space="preserve"> Banks shall not </w:t>
      </w:r>
      <w:proofErr w:type="gramStart"/>
      <w:r w:rsidRPr="00B85E4D">
        <w:rPr>
          <w:rFonts w:cs="Times New Roman"/>
          <w:sz w:val="24"/>
          <w:szCs w:val="24"/>
          <w:lang w:val="en-GB"/>
        </w:rPr>
        <w:t>enter into</w:t>
      </w:r>
      <w:proofErr w:type="gramEnd"/>
      <w:r w:rsidRPr="00B85E4D">
        <w:rPr>
          <w:rFonts w:cs="Times New Roman"/>
          <w:sz w:val="24"/>
          <w:szCs w:val="24"/>
          <w:lang w:val="en-GB"/>
        </w:rPr>
        <w:t xml:space="preserve"> derivative transactions or buy or sell derivative instruments for the sole purpose of complying with any of the conditions set out in paragraphs 20 and 21 during the monthly assessment.</w:t>
      </w:r>
    </w:p>
    <w:p w14:paraId="1E8FC854" w14:textId="77777777" w:rsidR="00A832FF" w:rsidRPr="00B85E4D" w:rsidRDefault="00A832FF" w:rsidP="00A832FF">
      <w:pPr>
        <w:spacing w:after="0"/>
        <w:ind w:firstLine="708"/>
        <w:jc w:val="both"/>
        <w:rPr>
          <w:rFonts w:cs="Times New Roman"/>
          <w:sz w:val="24"/>
          <w:szCs w:val="24"/>
          <w:lang w:val="en-GB"/>
        </w:rPr>
      </w:pPr>
    </w:p>
    <w:p w14:paraId="67DB0988" w14:textId="7F380385" w:rsidR="00A832FF" w:rsidRPr="00B85E4D" w:rsidRDefault="00A832FF" w:rsidP="00A832FF">
      <w:pPr>
        <w:spacing w:after="0"/>
        <w:ind w:firstLine="708"/>
        <w:jc w:val="center"/>
        <w:rPr>
          <w:rFonts w:cs="Times New Roman"/>
          <w:i/>
          <w:iCs/>
          <w:sz w:val="24"/>
          <w:szCs w:val="24"/>
          <w:lang w:val="en-GB"/>
        </w:rPr>
      </w:pPr>
      <w:r w:rsidRPr="00B85E4D">
        <w:rPr>
          <w:rFonts w:cs="Times New Roman"/>
          <w:i/>
          <w:iCs/>
          <w:sz w:val="24"/>
          <w:szCs w:val="24"/>
          <w:lang w:val="en-GB"/>
        </w:rPr>
        <w:t>Section 3</w:t>
      </w:r>
    </w:p>
    <w:p w14:paraId="5680B406" w14:textId="77EA0552" w:rsidR="00A832FF" w:rsidRPr="00B85E4D" w:rsidRDefault="00A832FF" w:rsidP="00A832FF">
      <w:pPr>
        <w:spacing w:after="0"/>
        <w:ind w:firstLine="708"/>
        <w:jc w:val="center"/>
        <w:rPr>
          <w:rFonts w:cs="Times New Roman"/>
          <w:b/>
          <w:bCs/>
          <w:sz w:val="24"/>
          <w:szCs w:val="24"/>
          <w:lang w:val="en-GB"/>
        </w:rPr>
      </w:pPr>
      <w:r w:rsidRPr="00B85E4D">
        <w:rPr>
          <w:rFonts w:cs="Times New Roman"/>
          <w:b/>
          <w:bCs/>
          <w:sz w:val="24"/>
          <w:szCs w:val="24"/>
          <w:lang w:val="en-GB"/>
        </w:rPr>
        <w:t xml:space="preserve">Non-compliance with the conditions for using simplified methods for calculating the exposure value of derivatives and the simplified approach for calculating the own funds requirements for CVA </w:t>
      </w:r>
      <w:proofErr w:type="gramStart"/>
      <w:r w:rsidRPr="00B85E4D">
        <w:rPr>
          <w:rFonts w:cs="Times New Roman"/>
          <w:b/>
          <w:bCs/>
          <w:sz w:val="24"/>
          <w:szCs w:val="24"/>
          <w:lang w:val="en-GB"/>
        </w:rPr>
        <w:t>risk</w:t>
      </w:r>
      <w:proofErr w:type="gramEnd"/>
    </w:p>
    <w:p w14:paraId="228721D9" w14:textId="77777777" w:rsidR="00A832FF" w:rsidRPr="00B85E4D" w:rsidRDefault="00A832FF" w:rsidP="00A832FF">
      <w:pPr>
        <w:spacing w:after="0"/>
        <w:ind w:firstLine="708"/>
        <w:jc w:val="both"/>
        <w:rPr>
          <w:rFonts w:cs="Times New Roman"/>
          <w:sz w:val="24"/>
          <w:szCs w:val="24"/>
          <w:lang w:val="en-GB"/>
        </w:rPr>
      </w:pPr>
    </w:p>
    <w:p w14:paraId="352A493D" w14:textId="22EC0D8A"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36.</w:t>
      </w:r>
      <w:r w:rsidRPr="00B85E4D">
        <w:rPr>
          <w:rFonts w:cs="Times New Roman"/>
          <w:sz w:val="24"/>
          <w:szCs w:val="24"/>
          <w:lang w:val="en-GB"/>
        </w:rPr>
        <w:t xml:space="preserve"> A bank that no longer meets one or more of the conditions set out in paragraphs 20 or 21 shall immediately, but no later than two (2) working days, notify the National Bank of Moldova thereof.</w:t>
      </w:r>
    </w:p>
    <w:p w14:paraId="236EC1D2" w14:textId="54D0234D"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t>37.</w:t>
      </w:r>
      <w:r w:rsidRPr="00B85E4D">
        <w:rPr>
          <w:rFonts w:cs="Times New Roman"/>
          <w:sz w:val="24"/>
          <w:szCs w:val="24"/>
          <w:lang w:val="en-GB"/>
        </w:rPr>
        <w:t xml:space="preserve"> The bank shall cease to calculate the exposure values of its derivative positions in accordance with Chapters IV or V and the own funds requirements for CVA risk in accordance with the simplified approach laid down in the Regulation on the treatment of the credit valuation adjustment risk for banks, as applicable, within three (3) months of the occurrence of any of the following situations:</w:t>
      </w:r>
    </w:p>
    <w:p w14:paraId="6B0E5414" w14:textId="4FE71557" w:rsidR="00A832FF" w:rsidRPr="00B85E4D" w:rsidRDefault="00A832FF" w:rsidP="00A832FF">
      <w:pPr>
        <w:spacing w:after="0"/>
        <w:ind w:firstLine="708"/>
        <w:jc w:val="both"/>
        <w:rPr>
          <w:rFonts w:cs="Times New Roman"/>
          <w:sz w:val="24"/>
          <w:szCs w:val="24"/>
          <w:lang w:val="en-GB"/>
        </w:rPr>
      </w:pPr>
      <w:r w:rsidRPr="00B85E4D">
        <w:rPr>
          <w:rFonts w:cs="Times New Roman"/>
          <w:sz w:val="24"/>
          <w:szCs w:val="24"/>
          <w:lang w:val="en-GB"/>
        </w:rPr>
        <w:t xml:space="preserve">37.1. the bank does not meet the conditions set out in paragraph 20 sub-paragraph 20.1 or paragraph 21 sub-paragraph 21.1, as applicable, or the conditions set out in paragraph 20 sub-paragraph 20.2 or paragraph 21 sub-paragraph 21.2, as applicable, for three consecutive </w:t>
      </w:r>
      <w:proofErr w:type="gramStart"/>
      <w:r w:rsidRPr="00B85E4D">
        <w:rPr>
          <w:rFonts w:cs="Times New Roman"/>
          <w:sz w:val="24"/>
          <w:szCs w:val="24"/>
          <w:lang w:val="en-GB"/>
        </w:rPr>
        <w:t>months;</w:t>
      </w:r>
      <w:proofErr w:type="gramEnd"/>
    </w:p>
    <w:p w14:paraId="1FBC6559" w14:textId="6F2A98AC" w:rsidR="00A832FF" w:rsidRPr="00B85E4D" w:rsidRDefault="00A832FF" w:rsidP="00A832FF">
      <w:pPr>
        <w:spacing w:after="0"/>
        <w:ind w:firstLine="708"/>
        <w:jc w:val="both"/>
        <w:rPr>
          <w:rFonts w:cs="Times New Roman"/>
          <w:sz w:val="24"/>
          <w:szCs w:val="24"/>
          <w:lang w:val="en-GB"/>
        </w:rPr>
      </w:pPr>
      <w:r w:rsidRPr="00B85E4D">
        <w:rPr>
          <w:rFonts w:cs="Times New Roman"/>
          <w:sz w:val="24"/>
          <w:szCs w:val="24"/>
          <w:lang w:val="en-GB"/>
        </w:rPr>
        <w:t>37.2. the bank does not meet the conditions set out in paragraph 20 sub-paragraph 20.1 or paragraph 21 sub-paragraph 21.1, as applicable, or the conditions set out in paragraph 20 sub-paragraph 20.2 or paragraph 21 sub-paragraph 21.2, as applicable, for more than six (6) of the preceding twelve (12) months.</w:t>
      </w:r>
    </w:p>
    <w:p w14:paraId="1257085A" w14:textId="502FF82B" w:rsidR="00A832FF" w:rsidRPr="00B85E4D" w:rsidRDefault="00A832FF" w:rsidP="00A832FF">
      <w:pPr>
        <w:spacing w:after="0"/>
        <w:ind w:firstLine="708"/>
        <w:jc w:val="both"/>
        <w:rPr>
          <w:rFonts w:cs="Times New Roman"/>
          <w:sz w:val="24"/>
          <w:szCs w:val="24"/>
          <w:lang w:val="en-GB"/>
        </w:rPr>
      </w:pPr>
      <w:r w:rsidRPr="00B85E4D">
        <w:rPr>
          <w:rFonts w:cs="Times New Roman"/>
          <w:b/>
          <w:bCs/>
          <w:sz w:val="24"/>
          <w:szCs w:val="24"/>
          <w:lang w:val="en-GB"/>
        </w:rPr>
        <w:lastRenderedPageBreak/>
        <w:t>38.</w:t>
      </w:r>
      <w:r w:rsidRPr="00B85E4D">
        <w:rPr>
          <w:rFonts w:cs="Times New Roman"/>
          <w:sz w:val="24"/>
          <w:szCs w:val="24"/>
          <w:lang w:val="en-GB"/>
        </w:rPr>
        <w:t xml:space="preserve"> Where a bank has ceased to calculate the exposure values of its derivative positions in accordance with Chapters IV or V, as applicable, it shall be permitted to resume calculating the exposure value of its derivative positions as set out in Chapters IV or V and the own funds requirements for CVA risk in accordance with the simplified approach under the Regulation on the treatment of the credit valuation adjustment risk for banks, only where it demonstrates to the National Bank of Moldova that all the conditions set out in paragraphs 20 or 21 have been met for an uninterrupted period of one (1) year.</w:t>
      </w:r>
    </w:p>
    <w:p w14:paraId="24796F50" w14:textId="77777777" w:rsidR="00F669E1" w:rsidRPr="00B85E4D" w:rsidRDefault="00F669E1" w:rsidP="00A832FF">
      <w:pPr>
        <w:spacing w:after="0"/>
        <w:ind w:firstLine="708"/>
        <w:jc w:val="both"/>
        <w:rPr>
          <w:rFonts w:cs="Times New Roman"/>
          <w:sz w:val="24"/>
          <w:szCs w:val="24"/>
          <w:lang w:val="en-GB"/>
        </w:rPr>
      </w:pPr>
    </w:p>
    <w:p w14:paraId="61535B29" w14:textId="77777777" w:rsidR="00F669E1" w:rsidRPr="00B85E4D" w:rsidRDefault="00F669E1" w:rsidP="00F669E1">
      <w:pPr>
        <w:spacing w:after="0"/>
        <w:ind w:firstLine="708"/>
        <w:jc w:val="center"/>
        <w:rPr>
          <w:rFonts w:cs="Times New Roman"/>
          <w:b/>
          <w:bCs/>
          <w:sz w:val="24"/>
          <w:szCs w:val="24"/>
          <w:lang w:val="en-GB"/>
        </w:rPr>
      </w:pPr>
      <w:r w:rsidRPr="00B85E4D">
        <w:rPr>
          <w:rFonts w:cs="Times New Roman"/>
          <w:b/>
          <w:bCs/>
          <w:sz w:val="24"/>
          <w:szCs w:val="24"/>
          <w:lang w:val="en-GB"/>
        </w:rPr>
        <w:t xml:space="preserve">Chapter III </w:t>
      </w:r>
    </w:p>
    <w:p w14:paraId="4DA0ACFA" w14:textId="3C77F734" w:rsidR="00F669E1" w:rsidRPr="00B85E4D" w:rsidRDefault="00F669E1" w:rsidP="00F669E1">
      <w:pPr>
        <w:spacing w:after="0"/>
        <w:ind w:firstLine="708"/>
        <w:jc w:val="center"/>
        <w:rPr>
          <w:rFonts w:cs="Times New Roman"/>
          <w:b/>
          <w:bCs/>
          <w:sz w:val="24"/>
          <w:szCs w:val="24"/>
          <w:lang w:val="en-GB"/>
        </w:rPr>
      </w:pPr>
      <w:r w:rsidRPr="00B85E4D">
        <w:rPr>
          <w:rFonts w:cs="Times New Roman"/>
          <w:b/>
          <w:bCs/>
          <w:sz w:val="24"/>
          <w:szCs w:val="24"/>
          <w:lang w:val="en-GB"/>
        </w:rPr>
        <w:t>Standardised approach for counterparty credit risk</w:t>
      </w:r>
    </w:p>
    <w:p w14:paraId="73B5AF49" w14:textId="77777777" w:rsidR="00F669E1" w:rsidRPr="00B85E4D" w:rsidRDefault="00F669E1" w:rsidP="00F669E1">
      <w:pPr>
        <w:spacing w:after="0"/>
        <w:ind w:firstLine="708"/>
        <w:jc w:val="center"/>
        <w:rPr>
          <w:rFonts w:cs="Times New Roman"/>
          <w:i/>
          <w:iCs/>
          <w:sz w:val="24"/>
          <w:szCs w:val="24"/>
          <w:lang w:val="en-GB"/>
        </w:rPr>
      </w:pPr>
    </w:p>
    <w:p w14:paraId="299F5F28" w14:textId="621250E1" w:rsidR="00F669E1" w:rsidRPr="00B85E4D" w:rsidRDefault="00F669E1" w:rsidP="00F669E1">
      <w:pPr>
        <w:spacing w:after="0"/>
        <w:ind w:firstLine="708"/>
        <w:jc w:val="center"/>
        <w:rPr>
          <w:rFonts w:cs="Times New Roman"/>
          <w:i/>
          <w:iCs/>
          <w:sz w:val="24"/>
          <w:szCs w:val="24"/>
          <w:lang w:val="en-GB"/>
        </w:rPr>
      </w:pPr>
      <w:r w:rsidRPr="00B85E4D">
        <w:rPr>
          <w:rFonts w:cs="Times New Roman"/>
          <w:i/>
          <w:iCs/>
          <w:sz w:val="24"/>
          <w:szCs w:val="24"/>
          <w:lang w:val="en-GB"/>
        </w:rPr>
        <w:t xml:space="preserve">Section 1 </w:t>
      </w:r>
    </w:p>
    <w:p w14:paraId="2818E05E" w14:textId="1C6D5695" w:rsidR="00F669E1" w:rsidRPr="00B85E4D" w:rsidRDefault="00F669E1" w:rsidP="00F669E1">
      <w:pPr>
        <w:spacing w:after="0"/>
        <w:ind w:firstLine="708"/>
        <w:jc w:val="center"/>
        <w:rPr>
          <w:rFonts w:cs="Times New Roman"/>
          <w:b/>
          <w:bCs/>
          <w:sz w:val="24"/>
          <w:szCs w:val="24"/>
          <w:lang w:val="en-GB"/>
        </w:rPr>
      </w:pPr>
      <w:r w:rsidRPr="00B85E4D">
        <w:rPr>
          <w:rFonts w:cs="Times New Roman"/>
          <w:b/>
          <w:bCs/>
          <w:sz w:val="24"/>
          <w:szCs w:val="24"/>
          <w:lang w:val="en-GB"/>
        </w:rPr>
        <w:t>Exposure value</w:t>
      </w:r>
    </w:p>
    <w:p w14:paraId="5D643F0D" w14:textId="77777777" w:rsidR="00F669E1" w:rsidRPr="00B85E4D" w:rsidRDefault="00F669E1" w:rsidP="00F669E1">
      <w:pPr>
        <w:spacing w:after="0"/>
        <w:ind w:firstLine="708"/>
        <w:jc w:val="both"/>
        <w:rPr>
          <w:rFonts w:cs="Times New Roman"/>
          <w:sz w:val="24"/>
          <w:szCs w:val="24"/>
          <w:lang w:val="en-GB"/>
        </w:rPr>
      </w:pPr>
    </w:p>
    <w:p w14:paraId="69D3CBCF" w14:textId="412B182B" w:rsidR="00F669E1" w:rsidRPr="00B85E4D" w:rsidRDefault="00F669E1" w:rsidP="00F669E1">
      <w:pPr>
        <w:spacing w:after="0"/>
        <w:ind w:firstLine="708"/>
        <w:jc w:val="both"/>
        <w:rPr>
          <w:rFonts w:cs="Times New Roman"/>
          <w:sz w:val="24"/>
          <w:szCs w:val="24"/>
          <w:lang w:val="en-GB"/>
        </w:rPr>
      </w:pPr>
      <w:r w:rsidRPr="00B85E4D">
        <w:rPr>
          <w:rFonts w:cs="Times New Roman"/>
          <w:b/>
          <w:bCs/>
          <w:sz w:val="24"/>
          <w:szCs w:val="24"/>
          <w:lang w:val="en-GB"/>
        </w:rPr>
        <w:t>39.</w:t>
      </w:r>
      <w:r w:rsidRPr="00B85E4D">
        <w:rPr>
          <w:rFonts w:cs="Times New Roman"/>
          <w:sz w:val="24"/>
          <w:szCs w:val="24"/>
          <w:lang w:val="en-GB"/>
        </w:rPr>
        <w:t xml:space="preserve"> A bank may calculate a single exposure value at netting set level for all transactions covered by a contractual netting agreement where all the following conditions are met:</w:t>
      </w:r>
    </w:p>
    <w:p w14:paraId="7D3EA83A" w14:textId="111D13F4"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39.1. the netting agreement belongs to one of the types of contractual netting agreements referred to in paragraph 106 and paragraph </w:t>
      </w:r>
      <w:proofErr w:type="gramStart"/>
      <w:r w:rsidRPr="00B85E4D">
        <w:rPr>
          <w:rFonts w:cs="Times New Roman"/>
          <w:sz w:val="24"/>
          <w:szCs w:val="24"/>
          <w:lang w:val="en-GB"/>
        </w:rPr>
        <w:t>107;</w:t>
      </w:r>
      <w:proofErr w:type="gramEnd"/>
    </w:p>
    <w:p w14:paraId="67C8A5B7" w14:textId="77777777"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39.2. the netting agreement has been recognised by the National Bank of Moldova in accordance with paragraphs 108–</w:t>
      </w:r>
      <w:proofErr w:type="gramStart"/>
      <w:r w:rsidRPr="00B85E4D">
        <w:rPr>
          <w:rFonts w:cs="Times New Roman"/>
          <w:sz w:val="24"/>
          <w:szCs w:val="24"/>
          <w:lang w:val="en-GB"/>
        </w:rPr>
        <w:t>111;</w:t>
      </w:r>
      <w:proofErr w:type="gramEnd"/>
    </w:p>
    <w:p w14:paraId="178A4602" w14:textId="77777777"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39.3. the bank has met its obligations set out in paragraphs 112–116 concerning the netting agreement.</w:t>
      </w:r>
    </w:p>
    <w:p w14:paraId="2A4898D4" w14:textId="765F4DC1" w:rsidR="00F669E1" w:rsidRPr="00B85E4D" w:rsidRDefault="00F669E1" w:rsidP="00F669E1">
      <w:pPr>
        <w:spacing w:after="0"/>
        <w:ind w:firstLine="708"/>
        <w:jc w:val="both"/>
        <w:rPr>
          <w:rFonts w:cs="Times New Roman"/>
          <w:sz w:val="24"/>
          <w:szCs w:val="24"/>
          <w:lang w:val="en-GB"/>
        </w:rPr>
      </w:pPr>
      <w:r w:rsidRPr="00B85E4D">
        <w:rPr>
          <w:rFonts w:cs="Times New Roman"/>
          <w:b/>
          <w:bCs/>
          <w:sz w:val="24"/>
          <w:szCs w:val="24"/>
          <w:lang w:val="en-GB"/>
        </w:rPr>
        <w:t>40.</w:t>
      </w:r>
      <w:r w:rsidRPr="00B85E4D">
        <w:rPr>
          <w:rFonts w:cs="Times New Roman"/>
          <w:sz w:val="24"/>
          <w:szCs w:val="24"/>
          <w:lang w:val="en-GB"/>
        </w:rPr>
        <w:t xml:space="preserve"> Where any of the conditions referred to in paragraph 39 are not met, the bank shall treat each transaction as if it was its own netting set.</w:t>
      </w:r>
    </w:p>
    <w:p w14:paraId="4AD25AF7" w14:textId="41D9653F" w:rsidR="00F669E1" w:rsidRPr="00B85E4D" w:rsidRDefault="00F669E1" w:rsidP="00F669E1">
      <w:pPr>
        <w:spacing w:after="0"/>
        <w:ind w:firstLine="708"/>
        <w:jc w:val="both"/>
        <w:rPr>
          <w:rFonts w:cs="Times New Roman"/>
          <w:sz w:val="24"/>
          <w:szCs w:val="24"/>
          <w:lang w:val="en-GB"/>
        </w:rPr>
      </w:pPr>
      <w:r w:rsidRPr="00B85E4D">
        <w:rPr>
          <w:rFonts w:cs="Times New Roman"/>
          <w:b/>
          <w:bCs/>
          <w:sz w:val="24"/>
          <w:szCs w:val="24"/>
          <w:lang w:val="en-GB"/>
        </w:rPr>
        <w:t>41.</w:t>
      </w:r>
      <w:r w:rsidRPr="00B85E4D">
        <w:rPr>
          <w:rFonts w:cs="Times New Roman"/>
          <w:sz w:val="24"/>
          <w:szCs w:val="24"/>
          <w:lang w:val="en-GB"/>
        </w:rPr>
        <w:t xml:space="preserve"> Banks shall calculate the exposure value of a netting set under the standardised approach for counterparty credit risk as follows:</w:t>
      </w:r>
    </w:p>
    <w:p w14:paraId="02F89D96" w14:textId="77777777" w:rsidR="00F669E1" w:rsidRPr="00B85E4D" w:rsidRDefault="00F669E1" w:rsidP="00F669E1">
      <w:pPr>
        <w:spacing w:after="0"/>
        <w:ind w:firstLine="708"/>
        <w:jc w:val="both"/>
        <w:rPr>
          <w:rFonts w:cs="Times New Roman"/>
          <w:sz w:val="24"/>
          <w:szCs w:val="24"/>
          <w:lang w:val="en-GB"/>
        </w:rPr>
      </w:pPr>
    </w:p>
    <w:p w14:paraId="4359E4E0" w14:textId="77777777"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Exposure value=α×(RC+PFE)</w:t>
      </w:r>
    </w:p>
    <w:p w14:paraId="6AAE3565" w14:textId="77777777" w:rsidR="00F669E1" w:rsidRPr="00B85E4D" w:rsidRDefault="00F669E1" w:rsidP="00F669E1">
      <w:pPr>
        <w:spacing w:after="0"/>
        <w:ind w:firstLine="708"/>
        <w:jc w:val="both"/>
        <w:rPr>
          <w:rFonts w:cs="Times New Roman"/>
          <w:sz w:val="24"/>
          <w:szCs w:val="24"/>
          <w:lang w:val="en-GB"/>
        </w:rPr>
      </w:pPr>
    </w:p>
    <w:p w14:paraId="38436398" w14:textId="77777777"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where:</w:t>
      </w:r>
    </w:p>
    <w:p w14:paraId="0C509A62" w14:textId="0401CB1E"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RC = the replacement cost, calculated in accordance with paragraphs 49–</w:t>
      </w:r>
      <w:proofErr w:type="gramStart"/>
      <w:r w:rsidRPr="00B85E4D">
        <w:rPr>
          <w:rFonts w:cs="Times New Roman"/>
          <w:sz w:val="24"/>
          <w:szCs w:val="24"/>
          <w:lang w:val="en-GB"/>
        </w:rPr>
        <w:t>51;</w:t>
      </w:r>
      <w:proofErr w:type="gramEnd"/>
    </w:p>
    <w:p w14:paraId="0B3F651E" w14:textId="49E43C30"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PFE = the potential future exposure, calculated in accordance with paragraphs 66–</w:t>
      </w:r>
      <w:proofErr w:type="gramStart"/>
      <w:r w:rsidRPr="00B85E4D">
        <w:rPr>
          <w:rFonts w:cs="Times New Roman"/>
          <w:sz w:val="24"/>
          <w:szCs w:val="24"/>
          <w:lang w:val="en-GB"/>
        </w:rPr>
        <w:t>68;</w:t>
      </w:r>
      <w:proofErr w:type="gramEnd"/>
    </w:p>
    <w:p w14:paraId="3640D0C8" w14:textId="77777777" w:rsidR="00F669E1" w:rsidRPr="00B85E4D" w:rsidRDefault="00F669E1" w:rsidP="00F669E1">
      <w:pPr>
        <w:spacing w:after="0"/>
        <w:ind w:firstLine="708"/>
        <w:jc w:val="both"/>
        <w:rPr>
          <w:rFonts w:cs="Times New Roman"/>
          <w:sz w:val="24"/>
          <w:szCs w:val="24"/>
          <w:lang w:val="en-GB"/>
        </w:rPr>
      </w:pPr>
    </w:p>
    <w:p w14:paraId="1A16D644" w14:textId="53E5E9A2"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α = 1.4.</w:t>
      </w:r>
    </w:p>
    <w:p w14:paraId="7926A22D" w14:textId="77777777" w:rsidR="00F669E1" w:rsidRPr="00B85E4D" w:rsidRDefault="00F669E1" w:rsidP="00F669E1">
      <w:pPr>
        <w:spacing w:after="0"/>
        <w:ind w:firstLine="708"/>
        <w:jc w:val="both"/>
        <w:rPr>
          <w:rFonts w:cs="Times New Roman"/>
          <w:sz w:val="24"/>
          <w:szCs w:val="24"/>
          <w:lang w:val="en-GB"/>
        </w:rPr>
      </w:pPr>
    </w:p>
    <w:p w14:paraId="5A289062" w14:textId="08321729" w:rsidR="00F669E1" w:rsidRPr="00B85E4D" w:rsidRDefault="00F669E1" w:rsidP="00F669E1">
      <w:pPr>
        <w:spacing w:after="0"/>
        <w:ind w:firstLine="708"/>
        <w:jc w:val="both"/>
        <w:rPr>
          <w:rFonts w:cs="Times New Roman"/>
          <w:sz w:val="24"/>
          <w:szCs w:val="24"/>
          <w:lang w:val="en-GB"/>
        </w:rPr>
      </w:pPr>
      <w:r w:rsidRPr="00B85E4D">
        <w:rPr>
          <w:rFonts w:cs="Times New Roman"/>
          <w:b/>
          <w:bCs/>
          <w:sz w:val="24"/>
          <w:szCs w:val="24"/>
          <w:lang w:val="en-GB"/>
        </w:rPr>
        <w:t>42.</w:t>
      </w:r>
      <w:r w:rsidRPr="00B85E4D">
        <w:rPr>
          <w:rFonts w:cs="Times New Roman"/>
          <w:sz w:val="24"/>
          <w:szCs w:val="24"/>
          <w:lang w:val="en-GB"/>
        </w:rPr>
        <w:t xml:space="preserve"> The exposure value of a netting set is subject to a contractual margin agreement shall be capped at the exposure value of the same netting set not subject to any form of margin agreement.</w:t>
      </w:r>
    </w:p>
    <w:p w14:paraId="3692163E" w14:textId="53815E81" w:rsidR="00F669E1" w:rsidRPr="00B85E4D" w:rsidRDefault="00F669E1" w:rsidP="00F669E1">
      <w:pPr>
        <w:spacing w:after="0"/>
        <w:ind w:firstLine="708"/>
        <w:jc w:val="both"/>
        <w:rPr>
          <w:rFonts w:cs="Times New Roman"/>
          <w:sz w:val="24"/>
          <w:szCs w:val="24"/>
          <w:lang w:val="en-GB"/>
        </w:rPr>
      </w:pPr>
      <w:r w:rsidRPr="00B85E4D">
        <w:rPr>
          <w:rFonts w:cs="Times New Roman"/>
          <w:b/>
          <w:bCs/>
          <w:sz w:val="24"/>
          <w:szCs w:val="24"/>
          <w:lang w:val="en-GB"/>
        </w:rPr>
        <w:t>43.</w:t>
      </w:r>
      <w:r w:rsidRPr="00B85E4D">
        <w:rPr>
          <w:rFonts w:cs="Times New Roman"/>
          <w:sz w:val="24"/>
          <w:szCs w:val="24"/>
          <w:lang w:val="en-GB"/>
        </w:rPr>
        <w:t xml:space="preserve"> Where multiple margin agreements apply to the same netting set, or where the netting set includes both transactions subject to a margin agreement and transactions not subject to such an agreement, the bank shall calculate its exposure value as follows:</w:t>
      </w:r>
    </w:p>
    <w:p w14:paraId="1D6C0C09" w14:textId="06E4CDE0"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43.1. the bank shall calculate the replacement cost of the netting </w:t>
      </w:r>
      <w:proofErr w:type="gramStart"/>
      <w:r w:rsidRPr="00B85E4D">
        <w:rPr>
          <w:rFonts w:cs="Times New Roman"/>
          <w:sz w:val="24"/>
          <w:szCs w:val="24"/>
          <w:lang w:val="en-GB"/>
        </w:rPr>
        <w:t>set in</w:t>
      </w:r>
      <w:proofErr w:type="gramEnd"/>
      <w:r w:rsidRPr="00B85E4D">
        <w:rPr>
          <w:rFonts w:cs="Times New Roman"/>
          <w:sz w:val="24"/>
          <w:szCs w:val="24"/>
          <w:lang w:val="en-GB"/>
        </w:rPr>
        <w:t xml:space="preserve"> accordance with paragraph 50, taking into account all transactions within the netting set</w:t>
      </w:r>
      <w:r w:rsidR="00214722" w:rsidRPr="00B85E4D">
        <w:rPr>
          <w:rFonts w:cs="Times New Roman"/>
          <w:sz w:val="24"/>
          <w:szCs w:val="24"/>
          <w:lang w:val="en-GB"/>
        </w:rPr>
        <w:t>,</w:t>
      </w:r>
      <w:r w:rsidRPr="00B85E4D">
        <w:rPr>
          <w:rFonts w:cs="Times New Roman"/>
          <w:sz w:val="24"/>
          <w:szCs w:val="24"/>
          <w:lang w:val="en-GB"/>
        </w:rPr>
        <w:t xml:space="preserve"> whether </w:t>
      </w:r>
      <w:r w:rsidR="00214722" w:rsidRPr="00B85E4D">
        <w:rPr>
          <w:rFonts w:cs="Times New Roman"/>
          <w:sz w:val="24"/>
          <w:szCs w:val="24"/>
          <w:lang w:val="en-GB"/>
        </w:rPr>
        <w:t xml:space="preserve">or not subject </w:t>
      </w:r>
      <w:r w:rsidRPr="00B85E4D">
        <w:rPr>
          <w:rFonts w:cs="Times New Roman"/>
          <w:sz w:val="24"/>
          <w:szCs w:val="24"/>
          <w:lang w:val="en-GB"/>
        </w:rPr>
        <w:t>to a margin agreement, and shall apply all of the following requirements:</w:t>
      </w:r>
    </w:p>
    <w:p w14:paraId="551681FF" w14:textId="558967FF"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43.1.1. the current market value (CMV) shall be calculated for all transactions within a netting set </w:t>
      </w:r>
      <w:r w:rsidR="00214722" w:rsidRPr="00B85E4D">
        <w:rPr>
          <w:rFonts w:cs="Times New Roman"/>
          <w:sz w:val="24"/>
          <w:szCs w:val="24"/>
          <w:lang w:val="en-GB"/>
        </w:rPr>
        <w:t>gross of</w:t>
      </w:r>
      <w:r w:rsidRPr="00B85E4D">
        <w:rPr>
          <w:rFonts w:cs="Times New Roman"/>
          <w:sz w:val="24"/>
          <w:szCs w:val="24"/>
          <w:lang w:val="en-GB"/>
        </w:rPr>
        <w:t xml:space="preserve"> any collateral </w:t>
      </w:r>
      <w:r w:rsidR="00214722" w:rsidRPr="00B85E4D">
        <w:rPr>
          <w:rFonts w:cs="Times New Roman"/>
          <w:sz w:val="24"/>
          <w:szCs w:val="24"/>
          <w:lang w:val="en-GB"/>
        </w:rPr>
        <w:t>held or posted where</w:t>
      </w:r>
      <w:r w:rsidRPr="00B85E4D">
        <w:rPr>
          <w:rFonts w:cs="Times New Roman"/>
          <w:sz w:val="24"/>
          <w:szCs w:val="24"/>
          <w:lang w:val="en-GB"/>
        </w:rPr>
        <w:t xml:space="preserve"> positive and negative market values </w:t>
      </w:r>
      <w:r w:rsidR="00214722" w:rsidRPr="00B85E4D">
        <w:rPr>
          <w:rFonts w:cs="Times New Roman"/>
          <w:sz w:val="24"/>
          <w:szCs w:val="24"/>
          <w:lang w:val="en-GB"/>
        </w:rPr>
        <w:t>are netted in</w:t>
      </w:r>
      <w:r w:rsidRPr="00B85E4D">
        <w:rPr>
          <w:rFonts w:cs="Times New Roman"/>
          <w:sz w:val="24"/>
          <w:szCs w:val="24"/>
          <w:lang w:val="en-GB"/>
        </w:rPr>
        <w:t xml:space="preserve"> computing the </w:t>
      </w:r>
      <w:proofErr w:type="gramStart"/>
      <w:r w:rsidRPr="00B85E4D">
        <w:rPr>
          <w:rFonts w:cs="Times New Roman"/>
          <w:sz w:val="24"/>
          <w:szCs w:val="24"/>
          <w:lang w:val="en-GB"/>
        </w:rPr>
        <w:t>CMV;</w:t>
      </w:r>
      <w:proofErr w:type="gramEnd"/>
    </w:p>
    <w:p w14:paraId="5B85ED79" w14:textId="3A9A936A"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43.1.2. NICA, VM, TH, and MTA, </w:t>
      </w:r>
      <w:r w:rsidR="00214722" w:rsidRPr="00B85E4D">
        <w:rPr>
          <w:rFonts w:cs="Times New Roman"/>
          <w:sz w:val="24"/>
          <w:szCs w:val="24"/>
          <w:lang w:val="en-GB"/>
        </w:rPr>
        <w:t>where</w:t>
      </w:r>
      <w:r w:rsidRPr="00B85E4D">
        <w:rPr>
          <w:rFonts w:cs="Times New Roman"/>
          <w:sz w:val="24"/>
          <w:szCs w:val="24"/>
          <w:lang w:val="en-GB"/>
        </w:rPr>
        <w:t xml:space="preserve"> applicable, shall be calculated separately as the sum </w:t>
      </w:r>
      <w:r w:rsidR="00214722" w:rsidRPr="00B85E4D">
        <w:rPr>
          <w:rFonts w:cs="Times New Roman"/>
          <w:sz w:val="24"/>
          <w:szCs w:val="24"/>
          <w:lang w:val="en-GB"/>
        </w:rPr>
        <w:t>across</w:t>
      </w:r>
      <w:r w:rsidRPr="00B85E4D">
        <w:rPr>
          <w:rFonts w:cs="Times New Roman"/>
          <w:sz w:val="24"/>
          <w:szCs w:val="24"/>
          <w:lang w:val="en-GB"/>
        </w:rPr>
        <w:t xml:space="preserve"> the same input</w:t>
      </w:r>
      <w:r w:rsidR="00214722" w:rsidRPr="00B85E4D">
        <w:rPr>
          <w:rFonts w:cs="Times New Roman"/>
          <w:sz w:val="24"/>
          <w:szCs w:val="24"/>
          <w:lang w:val="en-GB"/>
        </w:rPr>
        <w:t>s</w:t>
      </w:r>
      <w:r w:rsidRPr="00B85E4D">
        <w:rPr>
          <w:rFonts w:cs="Times New Roman"/>
          <w:sz w:val="24"/>
          <w:szCs w:val="24"/>
          <w:lang w:val="en-GB"/>
        </w:rPr>
        <w:t xml:space="preserve"> data applicable to each individual margin agreement </w:t>
      </w:r>
      <w:r w:rsidR="00214722" w:rsidRPr="00B85E4D">
        <w:rPr>
          <w:rFonts w:cs="Times New Roman"/>
          <w:sz w:val="24"/>
          <w:szCs w:val="24"/>
          <w:lang w:val="en-GB"/>
        </w:rPr>
        <w:t>of</w:t>
      </w:r>
      <w:r w:rsidRPr="00B85E4D">
        <w:rPr>
          <w:rFonts w:cs="Times New Roman"/>
          <w:sz w:val="24"/>
          <w:szCs w:val="24"/>
          <w:lang w:val="en-GB"/>
        </w:rPr>
        <w:t xml:space="preserve"> the netting </w:t>
      </w:r>
      <w:proofErr w:type="gramStart"/>
      <w:r w:rsidRPr="00B85E4D">
        <w:rPr>
          <w:rFonts w:cs="Times New Roman"/>
          <w:sz w:val="24"/>
          <w:szCs w:val="24"/>
          <w:lang w:val="en-GB"/>
        </w:rPr>
        <w:t>set;</w:t>
      </w:r>
      <w:proofErr w:type="gramEnd"/>
    </w:p>
    <w:p w14:paraId="3BF432FE" w14:textId="77777777"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43.2. the bank shall calculate the potential future exposure (PFE) of the netting set referred to in paragraphs 66–68 by applying all requirements related to the multiplier specified in paragraph </w:t>
      </w:r>
      <w:r w:rsidRPr="00B85E4D">
        <w:rPr>
          <w:rFonts w:cs="Times New Roman"/>
          <w:sz w:val="24"/>
          <w:szCs w:val="24"/>
          <w:lang w:val="en-GB"/>
        </w:rPr>
        <w:lastRenderedPageBreak/>
        <w:t>66, based on the input data CMV, NICA and VM, as applicable, in accordance with subparagraph 43.1.</w:t>
      </w:r>
    </w:p>
    <w:p w14:paraId="34E02EFC" w14:textId="41D4E8F4" w:rsidR="00F669E1" w:rsidRPr="00B85E4D" w:rsidRDefault="00334BCC" w:rsidP="00F669E1">
      <w:pPr>
        <w:spacing w:after="0"/>
        <w:ind w:firstLine="708"/>
        <w:jc w:val="both"/>
        <w:rPr>
          <w:rFonts w:cs="Times New Roman"/>
          <w:sz w:val="24"/>
          <w:szCs w:val="24"/>
          <w:lang w:val="en-GB"/>
        </w:rPr>
      </w:pPr>
      <w:r w:rsidRPr="00B85E4D">
        <w:rPr>
          <w:rFonts w:cs="Times New Roman"/>
          <w:b/>
          <w:bCs/>
          <w:sz w:val="24"/>
          <w:szCs w:val="24"/>
          <w:lang w:val="en-GB"/>
        </w:rPr>
        <w:t>44.</w:t>
      </w:r>
      <w:r w:rsidRPr="00B85E4D">
        <w:rPr>
          <w:rFonts w:cs="Times New Roman"/>
          <w:sz w:val="24"/>
          <w:szCs w:val="24"/>
          <w:lang w:val="en-GB"/>
        </w:rPr>
        <w:t xml:space="preserve"> </w:t>
      </w:r>
      <w:r w:rsidR="00F669E1" w:rsidRPr="00B85E4D">
        <w:rPr>
          <w:rFonts w:cs="Times New Roman"/>
          <w:sz w:val="24"/>
          <w:szCs w:val="24"/>
          <w:lang w:val="en-GB"/>
        </w:rPr>
        <w:t xml:space="preserve">Banks may set </w:t>
      </w:r>
      <w:r w:rsidRPr="00B85E4D">
        <w:rPr>
          <w:rFonts w:cs="Times New Roman"/>
          <w:sz w:val="24"/>
          <w:szCs w:val="24"/>
          <w:lang w:val="en-GB"/>
        </w:rPr>
        <w:t xml:space="preserve">to zero </w:t>
      </w:r>
      <w:r w:rsidR="00F669E1" w:rsidRPr="00B85E4D">
        <w:rPr>
          <w:rFonts w:cs="Times New Roman"/>
          <w:sz w:val="24"/>
          <w:szCs w:val="24"/>
          <w:lang w:val="en-GB"/>
        </w:rPr>
        <w:t xml:space="preserve">the exposure value of a netting set </w:t>
      </w:r>
      <w:r w:rsidRPr="00B85E4D">
        <w:rPr>
          <w:rFonts w:cs="Times New Roman"/>
          <w:sz w:val="24"/>
          <w:szCs w:val="24"/>
          <w:lang w:val="en-GB"/>
        </w:rPr>
        <w:t>that satisfies all the</w:t>
      </w:r>
      <w:r w:rsidR="00F669E1" w:rsidRPr="00B85E4D">
        <w:rPr>
          <w:rFonts w:cs="Times New Roman"/>
          <w:sz w:val="24"/>
          <w:szCs w:val="24"/>
          <w:lang w:val="en-GB"/>
        </w:rPr>
        <w:t xml:space="preserve"> following conditions:</w:t>
      </w:r>
    </w:p>
    <w:p w14:paraId="1777454D" w14:textId="250EF288"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44.1. the netting set </w:t>
      </w:r>
      <w:r w:rsidR="00334BCC" w:rsidRPr="00B85E4D">
        <w:rPr>
          <w:rFonts w:cs="Times New Roman"/>
          <w:sz w:val="24"/>
          <w:szCs w:val="24"/>
          <w:lang w:val="en-GB"/>
        </w:rPr>
        <w:t>is solely composed</w:t>
      </w:r>
      <w:r w:rsidRPr="00B85E4D">
        <w:rPr>
          <w:rFonts w:cs="Times New Roman"/>
          <w:sz w:val="24"/>
          <w:szCs w:val="24"/>
          <w:lang w:val="en-GB"/>
        </w:rPr>
        <w:t xml:space="preserve"> of sold </w:t>
      </w:r>
      <w:proofErr w:type="gramStart"/>
      <w:r w:rsidRPr="00B85E4D">
        <w:rPr>
          <w:rFonts w:cs="Times New Roman"/>
          <w:sz w:val="24"/>
          <w:szCs w:val="24"/>
          <w:lang w:val="en-GB"/>
        </w:rPr>
        <w:t>options;</w:t>
      </w:r>
      <w:proofErr w:type="gramEnd"/>
    </w:p>
    <w:p w14:paraId="55AA66F3" w14:textId="016B7C61"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44.2. the current market value of the netting set is at all times</w:t>
      </w:r>
      <w:r w:rsidR="00334BCC" w:rsidRPr="00B85E4D">
        <w:rPr>
          <w:rFonts w:cs="Times New Roman"/>
          <w:sz w:val="24"/>
          <w:szCs w:val="24"/>
          <w:lang w:val="en-GB"/>
        </w:rPr>
        <w:t xml:space="preserve"> </w:t>
      </w:r>
      <w:proofErr w:type="gramStart"/>
      <w:r w:rsidR="00334BCC" w:rsidRPr="00B85E4D">
        <w:rPr>
          <w:rFonts w:cs="Times New Roman"/>
          <w:sz w:val="24"/>
          <w:szCs w:val="24"/>
          <w:lang w:val="en-GB"/>
        </w:rPr>
        <w:t>negative</w:t>
      </w:r>
      <w:r w:rsidRPr="00B85E4D">
        <w:rPr>
          <w:rFonts w:cs="Times New Roman"/>
          <w:sz w:val="24"/>
          <w:szCs w:val="24"/>
          <w:lang w:val="en-GB"/>
        </w:rPr>
        <w:t>;</w:t>
      </w:r>
      <w:proofErr w:type="gramEnd"/>
    </w:p>
    <w:p w14:paraId="053C592A" w14:textId="1919A1EE"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44.3. the premium </w:t>
      </w:r>
      <w:r w:rsidR="00334BCC" w:rsidRPr="00B85E4D">
        <w:rPr>
          <w:rFonts w:cs="Times New Roman"/>
          <w:sz w:val="24"/>
          <w:szCs w:val="24"/>
          <w:lang w:val="en-GB"/>
        </w:rPr>
        <w:t>of</w:t>
      </w:r>
      <w:r w:rsidRPr="00B85E4D">
        <w:rPr>
          <w:rFonts w:cs="Times New Roman"/>
          <w:sz w:val="24"/>
          <w:szCs w:val="24"/>
          <w:lang w:val="en-GB"/>
        </w:rPr>
        <w:t xml:space="preserve"> all options included in the netting set has been received </w:t>
      </w:r>
      <w:r w:rsidR="00334BCC" w:rsidRPr="00B85E4D">
        <w:rPr>
          <w:rFonts w:cs="Times New Roman"/>
          <w:sz w:val="24"/>
          <w:szCs w:val="24"/>
          <w:lang w:val="en-GB"/>
        </w:rPr>
        <w:t>upfront</w:t>
      </w:r>
      <w:r w:rsidRPr="00B85E4D">
        <w:rPr>
          <w:rFonts w:cs="Times New Roman"/>
          <w:sz w:val="24"/>
          <w:szCs w:val="24"/>
          <w:lang w:val="en-GB"/>
        </w:rPr>
        <w:t xml:space="preserve"> by the bank to guarantee the performance of the </w:t>
      </w:r>
      <w:proofErr w:type="gramStart"/>
      <w:r w:rsidRPr="00B85E4D">
        <w:rPr>
          <w:rFonts w:cs="Times New Roman"/>
          <w:sz w:val="24"/>
          <w:szCs w:val="24"/>
          <w:lang w:val="en-GB"/>
        </w:rPr>
        <w:t>contracts;</w:t>
      </w:r>
      <w:proofErr w:type="gramEnd"/>
    </w:p>
    <w:p w14:paraId="77354E69" w14:textId="77777777"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44.4. the netting set is not subject to any margin agreement.</w:t>
      </w:r>
    </w:p>
    <w:p w14:paraId="5D41B952" w14:textId="473A86E5" w:rsidR="00F669E1" w:rsidRPr="00B85E4D" w:rsidRDefault="00334BCC" w:rsidP="00F669E1">
      <w:pPr>
        <w:spacing w:after="0"/>
        <w:ind w:firstLine="708"/>
        <w:jc w:val="both"/>
        <w:rPr>
          <w:rFonts w:cs="Times New Roman"/>
          <w:sz w:val="24"/>
          <w:szCs w:val="24"/>
          <w:lang w:val="en-GB"/>
        </w:rPr>
      </w:pPr>
      <w:r w:rsidRPr="00B85E4D">
        <w:rPr>
          <w:rFonts w:cs="Times New Roman"/>
          <w:b/>
          <w:bCs/>
          <w:sz w:val="24"/>
          <w:szCs w:val="24"/>
          <w:lang w:val="en-GB"/>
        </w:rPr>
        <w:t>45.</w:t>
      </w:r>
      <w:r w:rsidRPr="00B85E4D">
        <w:rPr>
          <w:rFonts w:cs="Times New Roman"/>
          <w:sz w:val="24"/>
          <w:szCs w:val="24"/>
          <w:lang w:val="en-GB"/>
        </w:rPr>
        <w:t xml:space="preserve"> </w:t>
      </w:r>
      <w:r w:rsidRPr="00B85E4D">
        <w:rPr>
          <w:sz w:val="24"/>
          <w:szCs w:val="24"/>
          <w:lang w:val="en-GB"/>
        </w:rPr>
        <w:t xml:space="preserve">In a netting set, banks shall replace a transaction which is a finite linear combination of bought or sold call or put options with all the single options that form that linear combination, taken as an individual transaction, for the purpose of calculating the exposure value of the netting </w:t>
      </w:r>
      <w:proofErr w:type="gramStart"/>
      <w:r w:rsidRPr="00B85E4D">
        <w:rPr>
          <w:sz w:val="24"/>
          <w:szCs w:val="24"/>
          <w:lang w:val="en-GB"/>
        </w:rPr>
        <w:t>set in</w:t>
      </w:r>
      <w:proofErr w:type="gramEnd"/>
      <w:r w:rsidRPr="00B85E4D">
        <w:rPr>
          <w:sz w:val="24"/>
          <w:szCs w:val="24"/>
          <w:lang w:val="en-GB"/>
        </w:rPr>
        <w:t xml:space="preserve"> accordance with this Section. Each such combination of options shall be treated as an individual transaction in the netting set in which the combination is included for the purpose of calculating the exposure </w:t>
      </w:r>
      <w:proofErr w:type="gramStart"/>
      <w:r w:rsidRPr="00B85E4D">
        <w:rPr>
          <w:sz w:val="24"/>
          <w:szCs w:val="24"/>
          <w:lang w:val="en-GB"/>
        </w:rPr>
        <w:t>value.</w:t>
      </w:r>
      <w:r w:rsidR="00F669E1" w:rsidRPr="00B85E4D">
        <w:rPr>
          <w:rFonts w:cs="Times New Roman"/>
          <w:sz w:val="24"/>
          <w:szCs w:val="24"/>
          <w:lang w:val="en-GB"/>
        </w:rPr>
        <w:t>.</w:t>
      </w:r>
      <w:proofErr w:type="gramEnd"/>
    </w:p>
    <w:p w14:paraId="74B8FDDF" w14:textId="685CDE9F" w:rsidR="00F669E1" w:rsidRPr="00B85E4D" w:rsidRDefault="00334BCC" w:rsidP="00F669E1">
      <w:pPr>
        <w:spacing w:after="0"/>
        <w:ind w:firstLine="708"/>
        <w:jc w:val="both"/>
        <w:rPr>
          <w:rFonts w:cs="Times New Roman"/>
          <w:sz w:val="24"/>
          <w:szCs w:val="24"/>
          <w:lang w:val="en-GB"/>
        </w:rPr>
      </w:pPr>
      <w:r w:rsidRPr="00B85E4D">
        <w:rPr>
          <w:rFonts w:cs="Times New Roman"/>
          <w:b/>
          <w:bCs/>
          <w:sz w:val="24"/>
          <w:szCs w:val="24"/>
          <w:lang w:val="en-GB"/>
        </w:rPr>
        <w:t>46.</w:t>
      </w:r>
      <w:r w:rsidRPr="00B85E4D">
        <w:rPr>
          <w:rFonts w:cs="Times New Roman"/>
          <w:sz w:val="24"/>
          <w:szCs w:val="24"/>
          <w:lang w:val="en-GB"/>
        </w:rPr>
        <w:t xml:space="preserve"> </w:t>
      </w:r>
      <w:r w:rsidR="00F669E1" w:rsidRPr="00B85E4D">
        <w:rPr>
          <w:rFonts w:cs="Times New Roman"/>
          <w:sz w:val="24"/>
          <w:szCs w:val="24"/>
          <w:lang w:val="en-GB"/>
        </w:rPr>
        <w:t xml:space="preserve">By way of derogation from paragraph 45, banks </w:t>
      </w:r>
      <w:r w:rsidRPr="00B85E4D">
        <w:rPr>
          <w:sz w:val="24"/>
          <w:szCs w:val="24"/>
          <w:lang w:val="en-GB"/>
        </w:rPr>
        <w:t>shall replace a vanilla digital option the strike of which equals K with the relevant collar combination of two sold and bought vanilla call or put options that meet the following requirements:</w:t>
      </w:r>
    </w:p>
    <w:p w14:paraId="77F04BE5" w14:textId="610E1801"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46.1. the two options </w:t>
      </w:r>
      <w:r w:rsidR="00334BCC" w:rsidRPr="00B85E4D">
        <w:rPr>
          <w:rFonts w:cs="Times New Roman"/>
          <w:sz w:val="24"/>
          <w:szCs w:val="24"/>
          <w:lang w:val="en-GB"/>
        </w:rPr>
        <w:t>of the</w:t>
      </w:r>
      <w:r w:rsidRPr="00B85E4D">
        <w:rPr>
          <w:rFonts w:cs="Times New Roman"/>
          <w:sz w:val="24"/>
          <w:szCs w:val="24"/>
          <w:lang w:val="en-GB"/>
        </w:rPr>
        <w:t xml:space="preserve"> collar combination have:</w:t>
      </w:r>
    </w:p>
    <w:p w14:paraId="589C8202" w14:textId="77777777"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46.1.1. the same maturity date and the same spot or forward price of the underlying instrument as the vanilla digital </w:t>
      </w:r>
      <w:proofErr w:type="gramStart"/>
      <w:r w:rsidRPr="00B85E4D">
        <w:rPr>
          <w:rFonts w:cs="Times New Roman"/>
          <w:sz w:val="24"/>
          <w:szCs w:val="24"/>
          <w:lang w:val="en-GB"/>
        </w:rPr>
        <w:t>option;</w:t>
      </w:r>
      <w:proofErr w:type="gramEnd"/>
    </w:p>
    <w:p w14:paraId="07345D46" w14:textId="3B2EE529"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 xml:space="preserve">46.1.2. strike prices equal to </w:t>
      </w:r>
      <w:r w:rsidR="00334BCC" w:rsidRPr="00B85E4D">
        <w:rPr>
          <w:rFonts w:eastAsia="Times New Roman" w:cs="Times New Roman"/>
          <w:sz w:val="24"/>
          <w:szCs w:val="24"/>
          <w:lang w:val="en-GB" w:eastAsia="ro-MD"/>
        </w:rPr>
        <w:t>0,95•K and1,05•K</w:t>
      </w:r>
      <w:r w:rsidRPr="00B85E4D">
        <w:rPr>
          <w:rFonts w:cs="Times New Roman"/>
          <w:sz w:val="24"/>
          <w:szCs w:val="24"/>
          <w:lang w:val="en-GB"/>
        </w:rPr>
        <w:t xml:space="preserve">, </w:t>
      </w:r>
      <w:proofErr w:type="gramStart"/>
      <w:r w:rsidRPr="00B85E4D">
        <w:rPr>
          <w:rFonts w:cs="Times New Roman"/>
          <w:sz w:val="24"/>
          <w:szCs w:val="24"/>
          <w:lang w:val="en-GB"/>
        </w:rPr>
        <w:t>respectively;</w:t>
      </w:r>
      <w:proofErr w:type="gramEnd"/>
    </w:p>
    <w:p w14:paraId="7EEAF209" w14:textId="18E9BC40" w:rsidR="00F669E1" w:rsidRPr="00B85E4D" w:rsidRDefault="00F669E1" w:rsidP="00F669E1">
      <w:pPr>
        <w:spacing w:after="0"/>
        <w:ind w:firstLine="708"/>
        <w:jc w:val="both"/>
        <w:rPr>
          <w:rFonts w:cs="Times New Roman"/>
          <w:sz w:val="24"/>
          <w:szCs w:val="24"/>
          <w:lang w:val="en-GB"/>
        </w:rPr>
      </w:pPr>
      <w:r w:rsidRPr="00B85E4D">
        <w:rPr>
          <w:rFonts w:cs="Times New Roman"/>
          <w:sz w:val="24"/>
          <w:szCs w:val="24"/>
          <w:lang w:val="en-GB"/>
        </w:rPr>
        <w:t>46.2. the collar combination replicate</w:t>
      </w:r>
      <w:r w:rsidR="00334BCC" w:rsidRPr="00B85E4D">
        <w:rPr>
          <w:rFonts w:cs="Times New Roman"/>
          <w:sz w:val="24"/>
          <w:szCs w:val="24"/>
          <w:lang w:val="en-GB"/>
        </w:rPr>
        <w:t>s exactly</w:t>
      </w:r>
      <w:r w:rsidRPr="00B85E4D">
        <w:rPr>
          <w:rFonts w:cs="Times New Roman"/>
          <w:sz w:val="24"/>
          <w:szCs w:val="24"/>
          <w:lang w:val="en-GB"/>
        </w:rPr>
        <w:t xml:space="preserve"> the </w:t>
      </w:r>
      <w:proofErr w:type="spellStart"/>
      <w:r w:rsidRPr="00B85E4D">
        <w:rPr>
          <w:rFonts w:cs="Times New Roman"/>
          <w:sz w:val="24"/>
          <w:szCs w:val="24"/>
          <w:lang w:val="en-GB"/>
        </w:rPr>
        <w:t>the</w:t>
      </w:r>
      <w:proofErr w:type="spellEnd"/>
      <w:r w:rsidRPr="00B85E4D">
        <w:rPr>
          <w:rFonts w:cs="Times New Roman"/>
          <w:sz w:val="24"/>
          <w:szCs w:val="24"/>
          <w:lang w:val="en-GB"/>
        </w:rPr>
        <w:t xml:space="preserve"> vanilla digital option </w:t>
      </w:r>
      <w:r w:rsidR="00334BCC" w:rsidRPr="00B85E4D">
        <w:rPr>
          <w:rFonts w:cs="Times New Roman"/>
          <w:sz w:val="24"/>
          <w:szCs w:val="24"/>
          <w:lang w:val="en-GB"/>
        </w:rPr>
        <w:t xml:space="preserve">payoff </w:t>
      </w:r>
      <w:r w:rsidRPr="00B85E4D">
        <w:rPr>
          <w:rFonts w:cs="Times New Roman"/>
          <w:sz w:val="24"/>
          <w:szCs w:val="24"/>
          <w:lang w:val="en-GB"/>
        </w:rPr>
        <w:t xml:space="preserve">outside the </w:t>
      </w:r>
      <w:r w:rsidR="00334BCC" w:rsidRPr="00B85E4D">
        <w:rPr>
          <w:rFonts w:cs="Times New Roman"/>
          <w:sz w:val="24"/>
          <w:szCs w:val="24"/>
          <w:lang w:val="en-GB"/>
        </w:rPr>
        <w:t>range</w:t>
      </w:r>
      <w:r w:rsidRPr="00B85E4D">
        <w:rPr>
          <w:rFonts w:cs="Times New Roman"/>
          <w:sz w:val="24"/>
          <w:szCs w:val="24"/>
          <w:lang w:val="en-GB"/>
        </w:rPr>
        <w:t xml:space="preserve"> between the two strike prices referred to in subparagraph 46.1.</w:t>
      </w:r>
    </w:p>
    <w:p w14:paraId="38099D96" w14:textId="15956706" w:rsidR="00F669E1" w:rsidRPr="00B85E4D" w:rsidRDefault="00334BCC" w:rsidP="00F669E1">
      <w:pPr>
        <w:spacing w:after="0"/>
        <w:ind w:firstLine="708"/>
        <w:jc w:val="both"/>
        <w:rPr>
          <w:rFonts w:cs="Times New Roman"/>
          <w:sz w:val="24"/>
          <w:szCs w:val="24"/>
          <w:lang w:val="en-GB"/>
        </w:rPr>
      </w:pPr>
      <w:r w:rsidRPr="00B85E4D">
        <w:rPr>
          <w:rFonts w:cs="Times New Roman"/>
          <w:b/>
          <w:bCs/>
          <w:sz w:val="24"/>
          <w:szCs w:val="24"/>
          <w:lang w:val="en-GB"/>
        </w:rPr>
        <w:t>47.</w:t>
      </w:r>
      <w:r w:rsidRPr="00B85E4D">
        <w:rPr>
          <w:rFonts w:cs="Times New Roman"/>
          <w:sz w:val="24"/>
          <w:szCs w:val="24"/>
          <w:lang w:val="en-GB"/>
        </w:rPr>
        <w:t xml:space="preserve"> </w:t>
      </w:r>
      <w:r w:rsidR="00F669E1" w:rsidRPr="00B85E4D">
        <w:rPr>
          <w:rFonts w:cs="Times New Roman"/>
          <w:sz w:val="24"/>
          <w:szCs w:val="24"/>
          <w:lang w:val="en-GB"/>
        </w:rPr>
        <w:t xml:space="preserve">The risk position of the two options </w:t>
      </w:r>
      <w:r w:rsidRPr="00B85E4D">
        <w:rPr>
          <w:rFonts w:cs="Times New Roman"/>
          <w:sz w:val="24"/>
          <w:szCs w:val="24"/>
          <w:lang w:val="en-GB"/>
        </w:rPr>
        <w:t>of</w:t>
      </w:r>
      <w:r w:rsidR="00F669E1" w:rsidRPr="00B85E4D">
        <w:rPr>
          <w:rFonts w:cs="Times New Roman"/>
          <w:sz w:val="24"/>
          <w:szCs w:val="24"/>
          <w:lang w:val="en-GB"/>
        </w:rPr>
        <w:t xml:space="preserve"> the collar combination referred to in paragraph 46 shall be calculated separately in accordance with paragraph 69.</w:t>
      </w:r>
    </w:p>
    <w:p w14:paraId="3DE298FD" w14:textId="5698EB17" w:rsidR="00F669E1" w:rsidRPr="00B85E4D" w:rsidRDefault="00334BCC" w:rsidP="00F669E1">
      <w:pPr>
        <w:spacing w:after="0"/>
        <w:ind w:firstLine="708"/>
        <w:jc w:val="both"/>
        <w:rPr>
          <w:rFonts w:cs="Times New Roman"/>
          <w:sz w:val="24"/>
          <w:szCs w:val="24"/>
          <w:lang w:val="en-GB"/>
        </w:rPr>
      </w:pPr>
      <w:r w:rsidRPr="00B85E4D">
        <w:rPr>
          <w:rFonts w:cs="Times New Roman"/>
          <w:b/>
          <w:bCs/>
          <w:sz w:val="24"/>
          <w:szCs w:val="24"/>
          <w:lang w:val="en-GB"/>
        </w:rPr>
        <w:t>48.</w:t>
      </w:r>
      <w:r w:rsidRPr="00B85E4D">
        <w:rPr>
          <w:rFonts w:cs="Times New Roman"/>
          <w:sz w:val="24"/>
          <w:szCs w:val="24"/>
          <w:lang w:val="en-GB"/>
        </w:rPr>
        <w:t xml:space="preserve"> </w:t>
      </w:r>
      <w:r w:rsidR="00F669E1" w:rsidRPr="00B85E4D">
        <w:rPr>
          <w:rFonts w:cs="Times New Roman"/>
          <w:sz w:val="24"/>
          <w:szCs w:val="24"/>
          <w:lang w:val="en-GB"/>
        </w:rPr>
        <w:t xml:space="preserve">The exposure value of a credit derivative transaction representing a long position in the underlying may be capped </w:t>
      </w:r>
      <w:r w:rsidRPr="00B85E4D">
        <w:rPr>
          <w:rFonts w:cs="Times New Roman"/>
          <w:sz w:val="24"/>
          <w:szCs w:val="24"/>
          <w:lang w:val="en-GB"/>
        </w:rPr>
        <w:t>to</w:t>
      </w:r>
      <w:r w:rsidR="00F669E1" w:rsidRPr="00B85E4D">
        <w:rPr>
          <w:rFonts w:cs="Times New Roman"/>
          <w:sz w:val="24"/>
          <w:szCs w:val="24"/>
          <w:lang w:val="en-GB"/>
        </w:rPr>
        <w:t xml:space="preserve"> the amount of the outstanding unpaid premium provided it is treated as its own netting set </w:t>
      </w:r>
      <w:r w:rsidRPr="00B85E4D">
        <w:rPr>
          <w:rFonts w:cs="Times New Roman"/>
          <w:sz w:val="24"/>
          <w:szCs w:val="24"/>
          <w:lang w:val="en-GB"/>
        </w:rPr>
        <w:t xml:space="preserve">that is </w:t>
      </w:r>
      <w:r w:rsidR="00F669E1" w:rsidRPr="00B85E4D">
        <w:rPr>
          <w:rFonts w:cs="Times New Roman"/>
          <w:sz w:val="24"/>
          <w:szCs w:val="24"/>
          <w:lang w:val="en-GB"/>
        </w:rPr>
        <w:t>not subject to any margin agreement.</w:t>
      </w:r>
    </w:p>
    <w:p w14:paraId="46930C48" w14:textId="77777777" w:rsidR="00334BCC" w:rsidRPr="00B85E4D" w:rsidRDefault="00334BCC" w:rsidP="00F669E1">
      <w:pPr>
        <w:spacing w:after="0"/>
        <w:ind w:firstLine="708"/>
        <w:jc w:val="both"/>
        <w:rPr>
          <w:rFonts w:cs="Times New Roman"/>
          <w:sz w:val="24"/>
          <w:szCs w:val="24"/>
          <w:lang w:val="en-GB"/>
        </w:rPr>
      </w:pPr>
    </w:p>
    <w:p w14:paraId="62CA259E" w14:textId="77777777" w:rsidR="00334BCC" w:rsidRPr="00B85E4D" w:rsidRDefault="00334BCC" w:rsidP="00F669E1">
      <w:pPr>
        <w:spacing w:after="0"/>
        <w:ind w:firstLine="708"/>
        <w:jc w:val="both"/>
        <w:rPr>
          <w:rFonts w:cs="Times New Roman"/>
          <w:sz w:val="24"/>
          <w:szCs w:val="24"/>
          <w:lang w:val="en-GB"/>
        </w:rPr>
      </w:pPr>
    </w:p>
    <w:p w14:paraId="065D3B5A" w14:textId="41BA913C" w:rsidR="00AF2282" w:rsidRPr="00B85E4D" w:rsidRDefault="00AF2282" w:rsidP="00AF2282">
      <w:pPr>
        <w:spacing w:after="0"/>
        <w:ind w:firstLine="708"/>
        <w:jc w:val="center"/>
        <w:rPr>
          <w:rFonts w:cs="Times New Roman"/>
          <w:sz w:val="24"/>
          <w:szCs w:val="24"/>
          <w:lang w:val="en-GB"/>
        </w:rPr>
      </w:pPr>
      <w:r w:rsidRPr="00B85E4D">
        <w:rPr>
          <w:rFonts w:cs="Times New Roman"/>
          <w:i/>
          <w:iCs/>
          <w:sz w:val="24"/>
          <w:szCs w:val="24"/>
          <w:lang w:val="en-GB"/>
        </w:rPr>
        <w:t>Section 2</w:t>
      </w:r>
    </w:p>
    <w:p w14:paraId="77C87012" w14:textId="5DBF1388" w:rsidR="00AF2282" w:rsidRPr="00B85E4D" w:rsidRDefault="00AF2282" w:rsidP="00AF2282">
      <w:pPr>
        <w:spacing w:after="0"/>
        <w:ind w:firstLine="708"/>
        <w:jc w:val="center"/>
        <w:rPr>
          <w:rFonts w:cs="Times New Roman"/>
          <w:b/>
          <w:bCs/>
          <w:sz w:val="24"/>
          <w:szCs w:val="24"/>
          <w:lang w:val="en-GB"/>
        </w:rPr>
      </w:pPr>
      <w:r w:rsidRPr="00B85E4D">
        <w:rPr>
          <w:rFonts w:cs="Times New Roman"/>
          <w:b/>
          <w:bCs/>
          <w:sz w:val="24"/>
          <w:szCs w:val="24"/>
          <w:lang w:val="en-GB"/>
        </w:rPr>
        <w:t>Replacement cost</w:t>
      </w:r>
    </w:p>
    <w:p w14:paraId="5F806609" w14:textId="77777777" w:rsidR="00AF2282" w:rsidRPr="00B85E4D" w:rsidRDefault="00AF2282" w:rsidP="00AF2282">
      <w:pPr>
        <w:spacing w:after="0"/>
        <w:ind w:firstLine="708"/>
        <w:jc w:val="center"/>
        <w:rPr>
          <w:rFonts w:cs="Times New Roman"/>
          <w:sz w:val="24"/>
          <w:szCs w:val="24"/>
          <w:lang w:val="en-GB"/>
        </w:rPr>
      </w:pPr>
    </w:p>
    <w:p w14:paraId="4AD1CC20" w14:textId="3A77578D" w:rsidR="00AF2282" w:rsidRPr="00B85E4D" w:rsidRDefault="00AF2282" w:rsidP="00AF2282">
      <w:pPr>
        <w:spacing w:after="0"/>
        <w:ind w:firstLine="708"/>
        <w:jc w:val="both"/>
        <w:rPr>
          <w:rFonts w:cs="Times New Roman"/>
          <w:sz w:val="24"/>
          <w:szCs w:val="24"/>
          <w:lang w:val="en-GB"/>
        </w:rPr>
      </w:pPr>
      <w:r w:rsidRPr="00B85E4D">
        <w:rPr>
          <w:rFonts w:cs="Times New Roman"/>
          <w:b/>
          <w:bCs/>
          <w:sz w:val="24"/>
          <w:szCs w:val="24"/>
          <w:lang w:val="en-GB"/>
        </w:rPr>
        <w:t>49.</w:t>
      </w:r>
      <w:r w:rsidRPr="00B85E4D">
        <w:rPr>
          <w:rFonts w:cs="Times New Roman"/>
          <w:sz w:val="24"/>
          <w:szCs w:val="24"/>
          <w:lang w:val="en-GB"/>
        </w:rPr>
        <w:t xml:space="preserve"> The banks shall calculate the replacement cost (RC) for netting sets that are not subject to a margin agreement in accordance with the following formula:</w:t>
      </w:r>
    </w:p>
    <w:p w14:paraId="6D90B253" w14:textId="6CF502B4"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  RC = max {CMV – NICA, 0}</w:t>
      </w:r>
    </w:p>
    <w:p w14:paraId="63161E06" w14:textId="77777777" w:rsidR="00AF2282" w:rsidRPr="00B85E4D" w:rsidRDefault="00AF2282" w:rsidP="00AF2282">
      <w:pPr>
        <w:spacing w:after="0"/>
        <w:ind w:firstLine="708"/>
        <w:jc w:val="both"/>
        <w:rPr>
          <w:rFonts w:cs="Times New Roman"/>
          <w:sz w:val="24"/>
          <w:szCs w:val="24"/>
          <w:lang w:val="en-GB"/>
        </w:rPr>
      </w:pPr>
    </w:p>
    <w:p w14:paraId="628AC064" w14:textId="0F92C411" w:rsidR="00AF2282" w:rsidRPr="00B85E4D" w:rsidRDefault="00AF2282" w:rsidP="00AF2282">
      <w:pPr>
        <w:spacing w:after="0"/>
        <w:ind w:firstLine="708"/>
        <w:jc w:val="both"/>
        <w:rPr>
          <w:rFonts w:cs="Times New Roman"/>
          <w:sz w:val="24"/>
          <w:szCs w:val="24"/>
          <w:lang w:val="en-GB"/>
        </w:rPr>
      </w:pPr>
      <w:r w:rsidRPr="00B85E4D">
        <w:rPr>
          <w:rFonts w:cs="Times New Roman"/>
          <w:b/>
          <w:bCs/>
          <w:sz w:val="24"/>
          <w:szCs w:val="24"/>
          <w:lang w:val="en-GB"/>
        </w:rPr>
        <w:t>50.</w:t>
      </w:r>
      <w:r w:rsidRPr="00B85E4D">
        <w:rPr>
          <w:rFonts w:cs="Times New Roman"/>
          <w:sz w:val="24"/>
          <w:szCs w:val="24"/>
          <w:lang w:val="en-GB"/>
        </w:rPr>
        <w:t xml:space="preserve"> The banks shall calculate the replacement cost (RC) for single netting sets that are subject to a margin agreement in accordance with the following formula:</w:t>
      </w:r>
    </w:p>
    <w:p w14:paraId="0003B1F8" w14:textId="53218F48"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  RC = max {CMV – VM – NICA, TH + MTA – NICA, 0}</w:t>
      </w:r>
    </w:p>
    <w:p w14:paraId="28CF3151" w14:textId="77777777" w:rsidR="00AF2282" w:rsidRPr="00B85E4D" w:rsidRDefault="00AF2282" w:rsidP="00AF2282">
      <w:pPr>
        <w:spacing w:after="0"/>
        <w:ind w:firstLine="708"/>
        <w:jc w:val="both"/>
        <w:rPr>
          <w:rFonts w:cs="Times New Roman"/>
          <w:sz w:val="24"/>
          <w:szCs w:val="24"/>
          <w:lang w:val="en-GB"/>
        </w:rPr>
      </w:pPr>
    </w:p>
    <w:p w14:paraId="2FA3A913" w14:textId="77777777"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  where:</w:t>
      </w:r>
    </w:p>
    <w:p w14:paraId="349A0B7E" w14:textId="420D3FB0"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xml:space="preserve">  RC = replacement </w:t>
      </w:r>
      <w:proofErr w:type="gramStart"/>
      <w:r w:rsidRPr="00B85E4D">
        <w:rPr>
          <w:rFonts w:cs="Times New Roman"/>
          <w:sz w:val="24"/>
          <w:szCs w:val="24"/>
          <w:lang w:val="en-GB"/>
        </w:rPr>
        <w:t>cost;</w:t>
      </w:r>
      <w:proofErr w:type="gramEnd"/>
    </w:p>
    <w:p w14:paraId="14B7AAD8" w14:textId="6C5732DA"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xml:space="preserve">  VM = </w:t>
      </w:r>
      <w:r w:rsidRPr="00B85E4D">
        <w:rPr>
          <w:sz w:val="24"/>
          <w:szCs w:val="24"/>
          <w:lang w:val="en-GB"/>
        </w:rPr>
        <w:t xml:space="preserve">the volatility-adjusted value of the net variation margin received or posted, as applicable, to the netting set on a regular basis to mitigate changes in the netting set's </w:t>
      </w:r>
      <w:proofErr w:type="gramStart"/>
      <w:r w:rsidRPr="00B85E4D">
        <w:rPr>
          <w:sz w:val="24"/>
          <w:szCs w:val="24"/>
          <w:lang w:val="en-GB"/>
        </w:rPr>
        <w:t>CMV</w:t>
      </w:r>
      <w:r w:rsidRPr="00B85E4D">
        <w:rPr>
          <w:rFonts w:cs="Times New Roman"/>
          <w:sz w:val="24"/>
          <w:szCs w:val="24"/>
          <w:lang w:val="en-GB"/>
        </w:rPr>
        <w:t>;</w:t>
      </w:r>
      <w:proofErr w:type="gramEnd"/>
    </w:p>
    <w:p w14:paraId="6521D5EE" w14:textId="4075EBED"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xml:space="preserve">  TH = the margin threshold applicable to the netting set under the margin agreement, below which the </w:t>
      </w:r>
      <w:r w:rsidR="00865CE4" w:rsidRPr="00B85E4D">
        <w:rPr>
          <w:rFonts w:cs="Times New Roman"/>
          <w:sz w:val="24"/>
          <w:szCs w:val="24"/>
          <w:lang w:val="en-GB"/>
        </w:rPr>
        <w:t>bank</w:t>
      </w:r>
      <w:r w:rsidRPr="00B85E4D">
        <w:rPr>
          <w:rFonts w:cs="Times New Roman"/>
          <w:sz w:val="24"/>
          <w:szCs w:val="24"/>
          <w:lang w:val="en-GB"/>
        </w:rPr>
        <w:t xml:space="preserve"> cannot call for collateral; and</w:t>
      </w:r>
    </w:p>
    <w:p w14:paraId="5E18E928" w14:textId="223D2760"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  MTA = the minimum transfer amount applicable to the netting set under the margin agreement.</w:t>
      </w:r>
    </w:p>
    <w:p w14:paraId="7CB59605" w14:textId="77777777" w:rsidR="00AF2282" w:rsidRPr="00B85E4D" w:rsidRDefault="00AF2282" w:rsidP="00AF2282">
      <w:pPr>
        <w:spacing w:after="0"/>
        <w:ind w:firstLine="708"/>
        <w:jc w:val="both"/>
        <w:rPr>
          <w:rFonts w:cs="Times New Roman"/>
          <w:sz w:val="24"/>
          <w:szCs w:val="24"/>
          <w:lang w:val="en-GB"/>
        </w:rPr>
      </w:pPr>
    </w:p>
    <w:p w14:paraId="5D492CA2" w14:textId="6FD9922D" w:rsidR="00AF2282" w:rsidRPr="00B85E4D" w:rsidRDefault="00AF2282" w:rsidP="00AF2282">
      <w:pPr>
        <w:spacing w:after="0"/>
        <w:ind w:firstLine="708"/>
        <w:jc w:val="both"/>
        <w:rPr>
          <w:rFonts w:cs="Times New Roman"/>
          <w:sz w:val="24"/>
          <w:szCs w:val="24"/>
          <w:lang w:val="en-GB"/>
        </w:rPr>
      </w:pPr>
      <w:r w:rsidRPr="00B85E4D">
        <w:rPr>
          <w:rFonts w:cs="Times New Roman"/>
          <w:b/>
          <w:bCs/>
          <w:sz w:val="24"/>
          <w:szCs w:val="24"/>
          <w:lang w:val="en-GB"/>
        </w:rPr>
        <w:lastRenderedPageBreak/>
        <w:t>5</w:t>
      </w:r>
      <w:r w:rsidR="00564B85" w:rsidRPr="00B85E4D">
        <w:rPr>
          <w:rFonts w:cs="Times New Roman"/>
          <w:b/>
          <w:bCs/>
          <w:sz w:val="24"/>
          <w:szCs w:val="24"/>
          <w:lang w:val="en-GB"/>
        </w:rPr>
        <w:t>1</w:t>
      </w:r>
      <w:r w:rsidRPr="00B85E4D">
        <w:rPr>
          <w:rFonts w:cs="Times New Roman"/>
          <w:b/>
          <w:bCs/>
          <w:sz w:val="24"/>
          <w:szCs w:val="24"/>
          <w:lang w:val="en-GB"/>
        </w:rPr>
        <w:t>.</w:t>
      </w:r>
      <w:r w:rsidRPr="00B85E4D">
        <w:rPr>
          <w:rFonts w:cs="Times New Roman"/>
          <w:sz w:val="24"/>
          <w:szCs w:val="24"/>
          <w:lang w:val="en-GB"/>
        </w:rPr>
        <w:t xml:space="preserve"> The banks shall calculate the replacement cost (RC) for multiple netting sets that are subject to the same margin agreement in accordance with the following formula:</w:t>
      </w:r>
    </w:p>
    <w:p w14:paraId="160DD90A" w14:textId="1A639FF6"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xml:space="preserve">   </w:t>
      </w:r>
      <w:r w:rsidRPr="00B85E4D">
        <w:rPr>
          <w:rFonts w:eastAsia="Times New Roman" w:cs="Times New Roman"/>
          <w:noProof/>
          <w:sz w:val="24"/>
          <w:szCs w:val="24"/>
          <w:lang w:val="en-GB" w:eastAsia="ro-MD"/>
        </w:rPr>
        <w:drawing>
          <wp:inline distT="0" distB="0" distL="0" distR="0" wp14:anchorId="7AFC5ACF" wp14:editId="1CA3EB68">
            <wp:extent cx="5939790" cy="410166"/>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10166"/>
                    </a:xfrm>
                    <a:prstGeom prst="rect">
                      <a:avLst/>
                    </a:prstGeom>
                    <a:noFill/>
                    <a:ln>
                      <a:noFill/>
                    </a:ln>
                  </pic:spPr>
                </pic:pic>
              </a:graphicData>
            </a:graphic>
          </wp:inline>
        </w:drawing>
      </w:r>
    </w:p>
    <w:p w14:paraId="2C4C148C" w14:textId="77777777" w:rsidR="00AF2282" w:rsidRPr="00B85E4D" w:rsidRDefault="00AF2282" w:rsidP="00AF2282">
      <w:pPr>
        <w:spacing w:after="0"/>
        <w:ind w:firstLine="708"/>
        <w:jc w:val="both"/>
        <w:rPr>
          <w:rFonts w:cs="Times New Roman"/>
          <w:sz w:val="24"/>
          <w:szCs w:val="24"/>
          <w:lang w:val="en-GB"/>
        </w:rPr>
      </w:pPr>
    </w:p>
    <w:p w14:paraId="7DBD165F" w14:textId="77777777"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  where:</w:t>
      </w:r>
    </w:p>
    <w:p w14:paraId="5A1040B5" w14:textId="65B4E582"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xml:space="preserve">  RC = </w:t>
      </w:r>
      <w:r w:rsidR="00564B85" w:rsidRPr="00B85E4D">
        <w:rPr>
          <w:rFonts w:cs="Times New Roman"/>
          <w:sz w:val="24"/>
          <w:szCs w:val="24"/>
          <w:lang w:val="en-GB"/>
        </w:rPr>
        <w:t xml:space="preserve">the </w:t>
      </w:r>
      <w:r w:rsidRPr="00B85E4D">
        <w:rPr>
          <w:rFonts w:cs="Times New Roman"/>
          <w:sz w:val="24"/>
          <w:szCs w:val="24"/>
          <w:lang w:val="en-GB"/>
        </w:rPr>
        <w:t xml:space="preserve">replacement </w:t>
      </w:r>
      <w:proofErr w:type="gramStart"/>
      <w:r w:rsidRPr="00B85E4D">
        <w:rPr>
          <w:rFonts w:cs="Times New Roman"/>
          <w:sz w:val="24"/>
          <w:szCs w:val="24"/>
          <w:lang w:val="en-GB"/>
        </w:rPr>
        <w:t>cost;</w:t>
      </w:r>
      <w:proofErr w:type="gramEnd"/>
    </w:p>
    <w:p w14:paraId="3C8F45E2" w14:textId="0822CDB8"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xml:space="preserve">  i = </w:t>
      </w:r>
      <w:r w:rsidR="00564B85" w:rsidRPr="00B85E4D">
        <w:rPr>
          <w:rFonts w:cs="Times New Roman"/>
          <w:sz w:val="24"/>
          <w:szCs w:val="24"/>
          <w:lang w:val="en-GB"/>
        </w:rPr>
        <w:t xml:space="preserve">the </w:t>
      </w:r>
      <w:r w:rsidRPr="00B85E4D">
        <w:rPr>
          <w:rFonts w:cs="Times New Roman"/>
          <w:sz w:val="24"/>
          <w:szCs w:val="24"/>
          <w:lang w:val="en-GB"/>
        </w:rPr>
        <w:t xml:space="preserve">index denoting the netting sets subject to the </w:t>
      </w:r>
      <w:r w:rsidR="00564B85" w:rsidRPr="00B85E4D">
        <w:rPr>
          <w:rFonts w:cs="Times New Roman"/>
          <w:sz w:val="24"/>
          <w:szCs w:val="24"/>
          <w:lang w:val="en-GB"/>
        </w:rPr>
        <w:t>single</w:t>
      </w:r>
      <w:r w:rsidRPr="00B85E4D">
        <w:rPr>
          <w:rFonts w:cs="Times New Roman"/>
          <w:sz w:val="24"/>
          <w:szCs w:val="24"/>
          <w:lang w:val="en-GB"/>
        </w:rPr>
        <w:t xml:space="preserve"> margin </w:t>
      </w:r>
      <w:proofErr w:type="gramStart"/>
      <w:r w:rsidRPr="00B85E4D">
        <w:rPr>
          <w:rFonts w:cs="Times New Roman"/>
          <w:sz w:val="24"/>
          <w:szCs w:val="24"/>
          <w:lang w:val="en-GB"/>
        </w:rPr>
        <w:t>agreement;</w:t>
      </w:r>
      <w:proofErr w:type="gramEnd"/>
    </w:p>
    <w:p w14:paraId="5F78B8AE" w14:textId="0552D3E6"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w:t>
      </w:r>
      <w:r w:rsidR="00564B85" w:rsidRPr="00B85E4D">
        <w:rPr>
          <w:rFonts w:cs="Times New Roman"/>
          <w:sz w:val="24"/>
          <w:szCs w:val="24"/>
          <w:lang w:val="en-GB"/>
        </w:rPr>
        <w:t xml:space="preserve">    </w:t>
      </w:r>
      <w:r w:rsidRPr="00B85E4D">
        <w:rPr>
          <w:rFonts w:cs="Times New Roman"/>
          <w:sz w:val="24"/>
          <w:szCs w:val="24"/>
          <w:lang w:val="en-GB"/>
        </w:rPr>
        <w:t xml:space="preserve">CMVᵢ = the current market value of netting set </w:t>
      </w:r>
      <w:proofErr w:type="gramStart"/>
      <w:r w:rsidRPr="00B85E4D">
        <w:rPr>
          <w:rFonts w:cs="Times New Roman"/>
          <w:sz w:val="24"/>
          <w:szCs w:val="24"/>
          <w:lang w:val="en-GB"/>
        </w:rPr>
        <w:t>i;</w:t>
      </w:r>
      <w:proofErr w:type="gramEnd"/>
    </w:p>
    <w:p w14:paraId="3551D34A" w14:textId="5597CEE2"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  VM</w:t>
      </w:r>
      <w:r w:rsidRPr="00B85E4D">
        <w:rPr>
          <w:rFonts w:cs="Times New Roman"/>
          <w:sz w:val="24"/>
          <w:szCs w:val="24"/>
          <w:vertAlign w:val="subscript"/>
          <w:lang w:val="en-GB"/>
        </w:rPr>
        <w:t>MA</w:t>
      </w:r>
      <w:r w:rsidRPr="00B85E4D">
        <w:rPr>
          <w:rFonts w:cs="Times New Roman"/>
          <w:sz w:val="24"/>
          <w:szCs w:val="24"/>
          <w:lang w:val="en-GB"/>
        </w:rPr>
        <w:t xml:space="preserve"> = </w:t>
      </w:r>
      <w:r w:rsidR="00564B85" w:rsidRPr="00B85E4D">
        <w:rPr>
          <w:sz w:val="24"/>
          <w:szCs w:val="24"/>
          <w:lang w:val="en-GB"/>
        </w:rPr>
        <w:t>the sum of the volatility-adjusted value of collateral received or posted, as applicable, to multiple netting sets on a regular basis to mitigate changes in their CMV; and</w:t>
      </w:r>
    </w:p>
    <w:p w14:paraId="1F237CD3" w14:textId="3138A8EA" w:rsidR="00AF2282"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  NICA</w:t>
      </w:r>
      <w:r w:rsidRPr="00B85E4D">
        <w:rPr>
          <w:rFonts w:cs="Times New Roman"/>
          <w:sz w:val="24"/>
          <w:szCs w:val="24"/>
          <w:vertAlign w:val="subscript"/>
          <w:lang w:val="en-GB"/>
        </w:rPr>
        <w:t>MA</w:t>
      </w:r>
      <w:r w:rsidRPr="00B85E4D">
        <w:rPr>
          <w:rFonts w:cs="Times New Roman"/>
          <w:sz w:val="24"/>
          <w:szCs w:val="24"/>
          <w:lang w:val="en-GB"/>
        </w:rPr>
        <w:t xml:space="preserve"> = </w:t>
      </w:r>
      <w:r w:rsidR="00564B85" w:rsidRPr="00B85E4D">
        <w:rPr>
          <w:lang w:val="en-GB"/>
        </w:rPr>
        <w:t>the sum of the volatility-adjusted value of collateral received or posted, as applicable, to multiple netting sets other than VM</w:t>
      </w:r>
      <w:r w:rsidR="00564B85" w:rsidRPr="00B85E4D">
        <w:rPr>
          <w:vertAlign w:val="subscript"/>
          <w:lang w:val="en-GB"/>
        </w:rPr>
        <w:t>MA</w:t>
      </w:r>
      <w:r w:rsidRPr="00B85E4D">
        <w:rPr>
          <w:rFonts w:cs="Times New Roman"/>
          <w:sz w:val="24"/>
          <w:szCs w:val="24"/>
          <w:lang w:val="en-GB"/>
        </w:rPr>
        <w:t>.</w:t>
      </w:r>
    </w:p>
    <w:p w14:paraId="4DEE3C80" w14:textId="796963E0" w:rsidR="00334BCC" w:rsidRPr="00B85E4D" w:rsidRDefault="00AF2282" w:rsidP="00AF2282">
      <w:pPr>
        <w:spacing w:after="0"/>
        <w:ind w:firstLine="708"/>
        <w:jc w:val="both"/>
        <w:rPr>
          <w:rFonts w:cs="Times New Roman"/>
          <w:sz w:val="24"/>
          <w:szCs w:val="24"/>
          <w:lang w:val="en-GB"/>
        </w:rPr>
      </w:pPr>
      <w:r w:rsidRPr="00B85E4D">
        <w:rPr>
          <w:rFonts w:cs="Times New Roman"/>
          <w:sz w:val="24"/>
          <w:szCs w:val="24"/>
          <w:lang w:val="en-GB"/>
        </w:rPr>
        <w:t>  For the purposes of this paragraph, NICA</w:t>
      </w:r>
      <w:r w:rsidRPr="00B85E4D">
        <w:rPr>
          <w:rFonts w:cs="Times New Roman"/>
          <w:sz w:val="24"/>
          <w:szCs w:val="24"/>
          <w:vertAlign w:val="subscript"/>
          <w:lang w:val="en-GB"/>
        </w:rPr>
        <w:t>MA</w:t>
      </w:r>
      <w:r w:rsidRPr="00B85E4D">
        <w:rPr>
          <w:rFonts w:cs="Times New Roman"/>
          <w:sz w:val="24"/>
          <w:szCs w:val="24"/>
          <w:lang w:val="en-GB"/>
        </w:rPr>
        <w:t xml:space="preserve"> may be calculated at </w:t>
      </w:r>
      <w:r w:rsidR="00564B85" w:rsidRPr="00B85E4D">
        <w:rPr>
          <w:rFonts w:cs="Times New Roman"/>
          <w:sz w:val="24"/>
          <w:szCs w:val="24"/>
          <w:lang w:val="en-GB"/>
        </w:rPr>
        <w:t>trade</w:t>
      </w:r>
      <w:r w:rsidRPr="00B85E4D">
        <w:rPr>
          <w:rFonts w:cs="Times New Roman"/>
          <w:sz w:val="24"/>
          <w:szCs w:val="24"/>
          <w:lang w:val="en-GB"/>
        </w:rPr>
        <w:t xml:space="preserve"> level, at </w:t>
      </w:r>
      <w:r w:rsidR="00564B85" w:rsidRPr="00B85E4D">
        <w:rPr>
          <w:rFonts w:cs="Times New Roman"/>
          <w:sz w:val="24"/>
          <w:szCs w:val="24"/>
          <w:lang w:val="en-GB"/>
        </w:rPr>
        <w:t xml:space="preserve">netting set </w:t>
      </w:r>
      <w:r w:rsidRPr="00B85E4D">
        <w:rPr>
          <w:rFonts w:cs="Times New Roman"/>
          <w:sz w:val="24"/>
          <w:szCs w:val="24"/>
          <w:lang w:val="en-GB"/>
        </w:rPr>
        <w:t>level, or at the level of all netting sets to which the margin agreement applies depending on the level at which that agreement is applied.</w:t>
      </w:r>
    </w:p>
    <w:p w14:paraId="7C70F0F2" w14:textId="77777777" w:rsidR="00564B85" w:rsidRPr="00B85E4D" w:rsidRDefault="00564B85" w:rsidP="00AF2282">
      <w:pPr>
        <w:spacing w:after="0"/>
        <w:ind w:firstLine="708"/>
        <w:jc w:val="both"/>
        <w:rPr>
          <w:rFonts w:cs="Times New Roman"/>
          <w:sz w:val="24"/>
          <w:szCs w:val="24"/>
          <w:lang w:val="en-GB"/>
        </w:rPr>
      </w:pPr>
    </w:p>
    <w:p w14:paraId="29CB1BA4" w14:textId="6FF01FF1" w:rsidR="00564B85" w:rsidRPr="00B85E4D" w:rsidRDefault="00564B85" w:rsidP="00564B85">
      <w:pPr>
        <w:spacing w:after="0"/>
        <w:ind w:firstLine="708"/>
        <w:jc w:val="center"/>
        <w:rPr>
          <w:rFonts w:cs="Times New Roman"/>
          <w:i/>
          <w:iCs/>
          <w:sz w:val="24"/>
          <w:szCs w:val="24"/>
          <w:lang w:val="en-GB"/>
        </w:rPr>
      </w:pPr>
      <w:r w:rsidRPr="00B85E4D">
        <w:rPr>
          <w:rFonts w:cs="Times New Roman"/>
          <w:i/>
          <w:iCs/>
          <w:sz w:val="24"/>
          <w:szCs w:val="24"/>
          <w:lang w:val="en-GB"/>
        </w:rPr>
        <w:t>Section 3</w:t>
      </w:r>
    </w:p>
    <w:p w14:paraId="5967A66B" w14:textId="6DA9E535" w:rsidR="00564B85" w:rsidRPr="00B85E4D" w:rsidRDefault="00564B85" w:rsidP="00564B85">
      <w:pPr>
        <w:spacing w:after="0"/>
        <w:ind w:firstLine="708"/>
        <w:jc w:val="center"/>
        <w:rPr>
          <w:rFonts w:cs="Times New Roman"/>
          <w:b/>
          <w:bCs/>
          <w:sz w:val="24"/>
          <w:szCs w:val="24"/>
          <w:lang w:val="en-GB"/>
        </w:rPr>
      </w:pPr>
      <w:r w:rsidRPr="00B85E4D">
        <w:rPr>
          <w:rFonts w:cs="Times New Roman"/>
          <w:b/>
          <w:bCs/>
          <w:sz w:val="24"/>
          <w:szCs w:val="24"/>
          <w:lang w:val="en-GB"/>
        </w:rPr>
        <w:t>Recognition and treatment of collateral</w:t>
      </w:r>
    </w:p>
    <w:p w14:paraId="506F244C" w14:textId="2C8F50FD" w:rsidR="00564B85" w:rsidRPr="00B85E4D" w:rsidRDefault="00564B85" w:rsidP="00564B85">
      <w:pPr>
        <w:spacing w:after="0"/>
        <w:ind w:firstLine="708"/>
        <w:jc w:val="both"/>
        <w:rPr>
          <w:rFonts w:cs="Times New Roman"/>
          <w:sz w:val="24"/>
          <w:szCs w:val="24"/>
          <w:lang w:val="en-GB"/>
        </w:rPr>
      </w:pPr>
      <w:r w:rsidRPr="00B85E4D">
        <w:rPr>
          <w:rFonts w:cs="Times New Roman"/>
          <w:b/>
          <w:bCs/>
          <w:sz w:val="24"/>
          <w:szCs w:val="24"/>
          <w:lang w:val="en-GB"/>
        </w:rPr>
        <w:t>52.</w:t>
      </w:r>
      <w:r w:rsidRPr="00B85E4D">
        <w:rPr>
          <w:rFonts w:cs="Times New Roman"/>
          <w:sz w:val="24"/>
          <w:szCs w:val="24"/>
          <w:lang w:val="en-GB"/>
        </w:rPr>
        <w:t xml:space="preserve"> For the purposes of this Section, banks shall calculate the collateral of VM, VM</w:t>
      </w:r>
      <w:r w:rsidRPr="00B85E4D">
        <w:rPr>
          <w:rFonts w:cs="Times New Roman"/>
          <w:sz w:val="24"/>
          <w:szCs w:val="24"/>
          <w:vertAlign w:val="subscript"/>
          <w:lang w:val="en-GB"/>
        </w:rPr>
        <w:t>MA</w:t>
      </w:r>
      <w:r w:rsidRPr="00B85E4D">
        <w:rPr>
          <w:rFonts w:cs="Times New Roman"/>
          <w:sz w:val="24"/>
          <w:szCs w:val="24"/>
          <w:lang w:val="en-GB"/>
        </w:rPr>
        <w:t>, NICA, and NICA</w:t>
      </w:r>
      <w:r w:rsidRPr="00B85E4D">
        <w:rPr>
          <w:rFonts w:cs="Times New Roman"/>
          <w:sz w:val="24"/>
          <w:szCs w:val="24"/>
          <w:vertAlign w:val="subscript"/>
          <w:lang w:val="en-GB"/>
        </w:rPr>
        <w:t>MA</w:t>
      </w:r>
      <w:r w:rsidRPr="00B85E4D">
        <w:rPr>
          <w:rFonts w:cs="Times New Roman"/>
          <w:sz w:val="24"/>
          <w:szCs w:val="24"/>
          <w:lang w:val="en-GB"/>
        </w:rPr>
        <w:t xml:space="preserve"> by applying </w:t>
      </w:r>
      <w:proofErr w:type="gramStart"/>
      <w:r w:rsidRPr="00B85E4D">
        <w:rPr>
          <w:rFonts w:cs="Times New Roman"/>
          <w:sz w:val="24"/>
          <w:szCs w:val="24"/>
          <w:lang w:val="en-GB"/>
        </w:rPr>
        <w:t>all of</w:t>
      </w:r>
      <w:proofErr w:type="gramEnd"/>
      <w:r w:rsidRPr="00B85E4D">
        <w:rPr>
          <w:rFonts w:cs="Times New Roman"/>
          <w:sz w:val="24"/>
          <w:szCs w:val="24"/>
          <w:lang w:val="en-GB"/>
        </w:rPr>
        <w:t xml:space="preserve"> the following requirements:</w:t>
      </w:r>
    </w:p>
    <w:p w14:paraId="52D054E5" w14:textId="3AE332DE"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 xml:space="preserve">52.1. where all the transactions included in a netting set belong to the trading book, only the collateral that is eligible under paragraph 25 of Regulation No. 112/2018 and in paragraphs 118–124 shall be </w:t>
      </w:r>
      <w:proofErr w:type="gramStart"/>
      <w:r w:rsidRPr="00B85E4D">
        <w:rPr>
          <w:rFonts w:cs="Times New Roman"/>
          <w:sz w:val="24"/>
          <w:szCs w:val="24"/>
          <w:lang w:val="en-GB"/>
        </w:rPr>
        <w:t>recognised;</w:t>
      </w:r>
      <w:proofErr w:type="gramEnd"/>
    </w:p>
    <w:p w14:paraId="1D55B481" w14:textId="569B3F9D"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 xml:space="preserve">52.2. where a netting set contains at least one transaction that belongs to the non-trading book, only collateral that is eligible under the paragraph 25 of Regulation No. 112/2018 shall be </w:t>
      </w:r>
      <w:proofErr w:type="gramStart"/>
      <w:r w:rsidRPr="00B85E4D">
        <w:rPr>
          <w:rFonts w:cs="Times New Roman"/>
          <w:sz w:val="24"/>
          <w:szCs w:val="24"/>
          <w:lang w:val="en-GB"/>
        </w:rPr>
        <w:t>recognised;</w:t>
      </w:r>
      <w:proofErr w:type="gramEnd"/>
    </w:p>
    <w:p w14:paraId="7BFA6E22" w14:textId="77777777"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 xml:space="preserve">52.3. collateral received from a counterparty shall be recognised with a positive sign, while collateral posted to a counterparty shall be recognised with a negative </w:t>
      </w:r>
      <w:proofErr w:type="gramStart"/>
      <w:r w:rsidRPr="00B85E4D">
        <w:rPr>
          <w:rFonts w:cs="Times New Roman"/>
          <w:sz w:val="24"/>
          <w:szCs w:val="24"/>
          <w:lang w:val="en-GB"/>
        </w:rPr>
        <w:t>sign;</w:t>
      </w:r>
      <w:proofErr w:type="gramEnd"/>
    </w:p>
    <w:p w14:paraId="5160142C" w14:textId="77777777"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 xml:space="preserve">52.4. the volatility-adjusted value of any type of collateral received or posted shall be calculated in accordance with paragraphs 84–94 of Regulation No. </w:t>
      </w:r>
      <w:proofErr w:type="gramStart"/>
      <w:r w:rsidRPr="00B85E4D">
        <w:rPr>
          <w:rFonts w:cs="Times New Roman"/>
          <w:sz w:val="24"/>
          <w:szCs w:val="24"/>
          <w:lang w:val="en-GB"/>
        </w:rPr>
        <w:t>112/2018;</w:t>
      </w:r>
      <w:proofErr w:type="gramEnd"/>
    </w:p>
    <w:p w14:paraId="6DF2C5B5" w14:textId="458CEBAE"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 xml:space="preserve">52.5. the same collateral item shall not be included simultaneously in both VM and </w:t>
      </w:r>
      <w:proofErr w:type="gramStart"/>
      <w:r w:rsidRPr="00B85E4D">
        <w:rPr>
          <w:rFonts w:cs="Times New Roman"/>
          <w:sz w:val="24"/>
          <w:szCs w:val="24"/>
          <w:lang w:val="en-GB"/>
        </w:rPr>
        <w:t>NICA;</w:t>
      </w:r>
      <w:proofErr w:type="gramEnd"/>
    </w:p>
    <w:p w14:paraId="159795E9" w14:textId="62DFFBA1"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52.6. the same collateral item shall not be included simultaneously in both VM</w:t>
      </w:r>
      <w:r w:rsidRPr="00B85E4D">
        <w:rPr>
          <w:rFonts w:cs="Times New Roman"/>
          <w:sz w:val="24"/>
          <w:szCs w:val="24"/>
          <w:vertAlign w:val="subscript"/>
          <w:lang w:val="en-GB"/>
        </w:rPr>
        <w:t>MA</w:t>
      </w:r>
      <w:r w:rsidRPr="00B85E4D">
        <w:rPr>
          <w:rFonts w:cs="Times New Roman"/>
          <w:sz w:val="24"/>
          <w:szCs w:val="24"/>
          <w:lang w:val="en-GB"/>
        </w:rPr>
        <w:t xml:space="preserve"> and </w:t>
      </w:r>
      <w:proofErr w:type="gramStart"/>
      <w:r w:rsidRPr="00B85E4D">
        <w:rPr>
          <w:rFonts w:cs="Times New Roman"/>
          <w:sz w:val="24"/>
          <w:szCs w:val="24"/>
          <w:lang w:val="en-GB"/>
        </w:rPr>
        <w:t>NICA</w:t>
      </w:r>
      <w:r w:rsidRPr="00B85E4D">
        <w:rPr>
          <w:rFonts w:cs="Times New Roman"/>
          <w:sz w:val="24"/>
          <w:szCs w:val="24"/>
          <w:vertAlign w:val="subscript"/>
          <w:lang w:val="en-GB"/>
        </w:rPr>
        <w:t>MA</w:t>
      </w:r>
      <w:r w:rsidRPr="00B85E4D">
        <w:rPr>
          <w:rFonts w:cs="Times New Roman"/>
          <w:sz w:val="24"/>
          <w:szCs w:val="24"/>
          <w:lang w:val="en-GB"/>
        </w:rPr>
        <w:t>;</w:t>
      </w:r>
      <w:proofErr w:type="gramEnd"/>
    </w:p>
    <w:p w14:paraId="735EC782" w14:textId="7333F9A1"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 xml:space="preserve">52.7. </w:t>
      </w:r>
      <w:r w:rsidR="00E00109" w:rsidRPr="00B85E4D">
        <w:rPr>
          <w:sz w:val="24"/>
          <w:szCs w:val="24"/>
          <w:lang w:val="en-GB"/>
        </w:rPr>
        <w:t xml:space="preserve">any collateral posted to the counterparty that is segregated from the assets of that counterparty and, </w:t>
      </w:r>
      <w:proofErr w:type="gramStart"/>
      <w:r w:rsidR="00E00109" w:rsidRPr="00B85E4D">
        <w:rPr>
          <w:sz w:val="24"/>
          <w:szCs w:val="24"/>
          <w:lang w:val="en-GB"/>
        </w:rPr>
        <w:t>as a result of</w:t>
      </w:r>
      <w:proofErr w:type="gramEnd"/>
      <w:r w:rsidR="00E00109" w:rsidRPr="00B85E4D">
        <w:rPr>
          <w:sz w:val="24"/>
          <w:szCs w:val="24"/>
          <w:lang w:val="en-GB"/>
        </w:rPr>
        <w:t xml:space="preserve"> that segregation, is bankruptcy remote in the event of the default or insolvency of that counterparty shall not be recognised in the calculation of NICA and NICA</w:t>
      </w:r>
      <w:r w:rsidR="00E00109" w:rsidRPr="00B85E4D">
        <w:rPr>
          <w:sz w:val="24"/>
          <w:szCs w:val="24"/>
          <w:vertAlign w:val="subscript"/>
          <w:lang w:val="en-GB"/>
        </w:rPr>
        <w:t>MA</w:t>
      </w:r>
      <w:r w:rsidRPr="00B85E4D">
        <w:rPr>
          <w:rFonts w:cs="Times New Roman"/>
          <w:sz w:val="24"/>
          <w:szCs w:val="24"/>
          <w:lang w:val="en-GB"/>
        </w:rPr>
        <w:t>.</w:t>
      </w:r>
    </w:p>
    <w:p w14:paraId="1618CB74" w14:textId="77777777" w:rsidR="00564B85" w:rsidRPr="00B85E4D" w:rsidRDefault="00564B85" w:rsidP="00564B85">
      <w:pPr>
        <w:spacing w:after="0"/>
        <w:ind w:firstLine="708"/>
        <w:jc w:val="both"/>
        <w:rPr>
          <w:rFonts w:cs="Times New Roman"/>
          <w:sz w:val="24"/>
          <w:szCs w:val="24"/>
          <w:lang w:val="en-GB"/>
        </w:rPr>
      </w:pPr>
    </w:p>
    <w:p w14:paraId="5041D31E" w14:textId="25A906C3" w:rsidR="00564B85" w:rsidRPr="00B85E4D" w:rsidRDefault="00E00109" w:rsidP="00564B85">
      <w:pPr>
        <w:spacing w:after="0"/>
        <w:ind w:firstLine="708"/>
        <w:jc w:val="both"/>
        <w:rPr>
          <w:rFonts w:cs="Times New Roman"/>
          <w:sz w:val="24"/>
          <w:szCs w:val="24"/>
          <w:lang w:val="en-GB"/>
        </w:rPr>
      </w:pPr>
      <w:r w:rsidRPr="00B85E4D">
        <w:rPr>
          <w:rFonts w:cs="Times New Roman"/>
          <w:sz w:val="24"/>
          <w:szCs w:val="24"/>
          <w:lang w:val="en-GB"/>
        </w:rPr>
        <w:t xml:space="preserve">53. </w:t>
      </w:r>
      <w:proofErr w:type="gramStart"/>
      <w:r w:rsidR="00564B85" w:rsidRPr="00B85E4D">
        <w:rPr>
          <w:rFonts w:cs="Times New Roman"/>
          <w:sz w:val="24"/>
          <w:szCs w:val="24"/>
          <w:lang w:val="en-GB"/>
        </w:rPr>
        <w:t>For the purpose of</w:t>
      </w:r>
      <w:proofErr w:type="gramEnd"/>
      <w:r w:rsidR="00564B85" w:rsidRPr="00B85E4D">
        <w:rPr>
          <w:rFonts w:cs="Times New Roman"/>
          <w:sz w:val="24"/>
          <w:szCs w:val="24"/>
          <w:lang w:val="en-GB"/>
        </w:rPr>
        <w:t xml:space="preserve"> calculating the volatility-adjusted value of collateral posted referred to in paragraph 52, subparagraph 52.4, banks shall replace the formula set out in paragraphs 87 and 88 of Regulation No. 112/2018 with the following formula:</w:t>
      </w:r>
    </w:p>
    <w:p w14:paraId="084D05A9" w14:textId="77777777" w:rsidR="00564B85" w:rsidRPr="00B85E4D" w:rsidRDefault="00564B85" w:rsidP="00564B85">
      <w:pPr>
        <w:spacing w:after="0"/>
        <w:ind w:firstLine="708"/>
        <w:jc w:val="both"/>
        <w:rPr>
          <w:rFonts w:cs="Times New Roman"/>
          <w:sz w:val="24"/>
          <w:szCs w:val="24"/>
          <w:lang w:val="en-GB"/>
        </w:rPr>
      </w:pPr>
    </w:p>
    <w:p w14:paraId="239FD4C4" w14:textId="33E9F8E2" w:rsidR="00E00109" w:rsidRPr="00B85E4D" w:rsidRDefault="00564B85" w:rsidP="00E00109">
      <w:pPr>
        <w:spacing w:after="0"/>
        <w:jc w:val="center"/>
        <w:rPr>
          <w:rFonts w:eastAsia="Times New Roman" w:cs="Times New Roman"/>
          <w:sz w:val="24"/>
          <w:szCs w:val="24"/>
          <w:lang w:val="en-GB" w:eastAsia="ro-MD"/>
        </w:rPr>
      </w:pPr>
      <w:r w:rsidRPr="00B85E4D">
        <w:rPr>
          <w:rFonts w:cs="Times New Roman"/>
          <w:sz w:val="24"/>
          <w:szCs w:val="24"/>
          <w:lang w:val="en-GB"/>
        </w:rPr>
        <w:t>  </w:t>
      </w:r>
      <w:r w:rsidR="00E00109" w:rsidRPr="00B85E4D">
        <w:rPr>
          <w:rFonts w:eastAsia="Times New Roman" w:cs="Times New Roman"/>
          <w:sz w:val="24"/>
          <w:szCs w:val="24"/>
          <w:lang w:val="en-GB" w:eastAsia="ro-MD"/>
        </w:rPr>
        <w:t xml:space="preserve"> C</w:t>
      </w:r>
      <w:r w:rsidR="00E00109" w:rsidRPr="00B85E4D">
        <w:rPr>
          <w:rFonts w:eastAsia="Times New Roman" w:cs="Times New Roman"/>
          <w:sz w:val="24"/>
          <w:szCs w:val="24"/>
          <w:vertAlign w:val="subscript"/>
          <w:lang w:val="en-GB" w:eastAsia="ro-MD"/>
        </w:rPr>
        <w:t>VA</w:t>
      </w:r>
      <w:r w:rsidR="00E00109" w:rsidRPr="00B85E4D">
        <w:rPr>
          <w:rFonts w:eastAsia="Times New Roman" w:cs="Times New Roman"/>
          <w:sz w:val="24"/>
          <w:szCs w:val="24"/>
          <w:lang w:val="en-GB" w:eastAsia="ro-MD"/>
        </w:rPr>
        <w:t xml:space="preserve"> = C · (1 + </w:t>
      </w:r>
      <w:proofErr w:type="spellStart"/>
      <w:r w:rsidR="00E00109" w:rsidRPr="00B85E4D">
        <w:rPr>
          <w:rFonts w:eastAsia="Times New Roman" w:cs="Times New Roman"/>
          <w:sz w:val="24"/>
          <w:szCs w:val="24"/>
          <w:lang w:val="en-GB" w:eastAsia="ro-MD"/>
        </w:rPr>
        <w:t>H</w:t>
      </w:r>
      <w:r w:rsidR="00E00109" w:rsidRPr="00B85E4D">
        <w:rPr>
          <w:rFonts w:eastAsia="Times New Roman" w:cs="Times New Roman"/>
          <w:sz w:val="24"/>
          <w:szCs w:val="24"/>
          <w:vertAlign w:val="subscript"/>
          <w:lang w:val="en-GB" w:eastAsia="ro-MD"/>
        </w:rPr>
        <w:t>c</w:t>
      </w:r>
      <w:proofErr w:type="spellEnd"/>
      <w:r w:rsidR="00E00109" w:rsidRPr="00B85E4D">
        <w:rPr>
          <w:rFonts w:eastAsia="Times New Roman" w:cs="Times New Roman"/>
          <w:sz w:val="24"/>
          <w:szCs w:val="24"/>
          <w:lang w:val="en-GB" w:eastAsia="ro-MD"/>
        </w:rPr>
        <w:t xml:space="preserve"> + </w:t>
      </w:r>
      <w:proofErr w:type="spellStart"/>
      <w:r w:rsidR="00E00109" w:rsidRPr="00B85E4D">
        <w:rPr>
          <w:rFonts w:eastAsia="Times New Roman" w:cs="Times New Roman"/>
          <w:sz w:val="24"/>
          <w:szCs w:val="24"/>
          <w:lang w:val="en-GB" w:eastAsia="ro-MD"/>
        </w:rPr>
        <w:t>H</w:t>
      </w:r>
      <w:r w:rsidR="00E00109" w:rsidRPr="00B85E4D">
        <w:rPr>
          <w:rFonts w:eastAsia="Times New Roman" w:cs="Times New Roman"/>
          <w:sz w:val="24"/>
          <w:szCs w:val="24"/>
          <w:vertAlign w:val="subscript"/>
          <w:lang w:val="en-GB" w:eastAsia="ro-MD"/>
        </w:rPr>
        <w:t>fx</w:t>
      </w:r>
      <w:proofErr w:type="spellEnd"/>
      <w:r w:rsidR="00745399">
        <w:rPr>
          <w:rFonts w:eastAsia="Times New Roman" w:cs="Times New Roman"/>
          <w:sz w:val="24"/>
          <w:szCs w:val="24"/>
          <w:lang w:val="en-GB" w:eastAsia="ro-MD"/>
        </w:rPr>
        <w:t>)</w:t>
      </w:r>
    </w:p>
    <w:p w14:paraId="50CDA24F" w14:textId="77777777"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where:</w:t>
      </w:r>
    </w:p>
    <w:p w14:paraId="7BD89925" w14:textId="3ACFB52E"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C</w:t>
      </w:r>
      <w:r w:rsidRPr="00B85E4D">
        <w:rPr>
          <w:rFonts w:cs="Times New Roman"/>
          <w:sz w:val="24"/>
          <w:szCs w:val="24"/>
          <w:vertAlign w:val="subscript"/>
          <w:lang w:val="en-GB"/>
        </w:rPr>
        <w:t>VA</w:t>
      </w:r>
      <w:r w:rsidRPr="00B85E4D">
        <w:rPr>
          <w:rFonts w:cs="Times New Roman"/>
          <w:sz w:val="24"/>
          <w:szCs w:val="24"/>
          <w:lang w:val="en-GB"/>
        </w:rPr>
        <w:t xml:space="preserve"> = the volatility-adjusted value of collateral </w:t>
      </w:r>
      <w:proofErr w:type="gramStart"/>
      <w:r w:rsidRPr="00B85E4D">
        <w:rPr>
          <w:rFonts w:cs="Times New Roman"/>
          <w:sz w:val="24"/>
          <w:szCs w:val="24"/>
          <w:lang w:val="en-GB"/>
        </w:rPr>
        <w:t>posted;</w:t>
      </w:r>
      <w:proofErr w:type="gramEnd"/>
    </w:p>
    <w:p w14:paraId="3F782896" w14:textId="43589844" w:rsidR="00564B85" w:rsidRPr="00B85E4D" w:rsidRDefault="00564B85" w:rsidP="00564B85">
      <w:pPr>
        <w:spacing w:after="0"/>
        <w:ind w:firstLine="708"/>
        <w:jc w:val="both"/>
        <w:rPr>
          <w:rFonts w:cs="Times New Roman"/>
          <w:sz w:val="24"/>
          <w:szCs w:val="24"/>
          <w:lang w:val="en-GB"/>
        </w:rPr>
      </w:pPr>
      <w:r w:rsidRPr="00B85E4D">
        <w:rPr>
          <w:rFonts w:cs="Times New Roman"/>
          <w:sz w:val="24"/>
          <w:szCs w:val="24"/>
          <w:lang w:val="en-GB"/>
        </w:rPr>
        <w:t xml:space="preserve">C = </w:t>
      </w:r>
      <w:r w:rsidR="00E00109" w:rsidRPr="00B85E4D">
        <w:rPr>
          <w:rFonts w:cs="Times New Roman"/>
          <w:sz w:val="24"/>
          <w:szCs w:val="24"/>
          <w:lang w:val="en-GB"/>
        </w:rPr>
        <w:t xml:space="preserve">the </w:t>
      </w:r>
      <w:proofErr w:type="gramStart"/>
      <w:r w:rsidRPr="00B85E4D">
        <w:rPr>
          <w:rFonts w:cs="Times New Roman"/>
          <w:sz w:val="24"/>
          <w:szCs w:val="24"/>
          <w:lang w:val="en-GB"/>
        </w:rPr>
        <w:t>collateral;</w:t>
      </w:r>
      <w:proofErr w:type="gramEnd"/>
    </w:p>
    <w:p w14:paraId="7FB9DDFA" w14:textId="6DD6B14F" w:rsidR="00564B85" w:rsidRPr="00B85E4D" w:rsidRDefault="00564B85" w:rsidP="00564B85">
      <w:pPr>
        <w:spacing w:after="0"/>
        <w:ind w:firstLine="708"/>
        <w:jc w:val="both"/>
        <w:rPr>
          <w:rFonts w:cs="Times New Roman"/>
          <w:sz w:val="24"/>
          <w:szCs w:val="24"/>
          <w:lang w:val="en-GB"/>
        </w:rPr>
      </w:pPr>
      <w:proofErr w:type="spellStart"/>
      <w:r w:rsidRPr="00B85E4D">
        <w:rPr>
          <w:rFonts w:cs="Times New Roman"/>
          <w:sz w:val="24"/>
          <w:szCs w:val="24"/>
          <w:lang w:val="en-GB"/>
        </w:rPr>
        <w:t>H</w:t>
      </w:r>
      <w:r w:rsidRPr="00B85E4D">
        <w:rPr>
          <w:rFonts w:cs="Times New Roman"/>
          <w:sz w:val="24"/>
          <w:szCs w:val="24"/>
          <w:vertAlign w:val="subscript"/>
          <w:lang w:val="en-GB"/>
        </w:rPr>
        <w:t>c</w:t>
      </w:r>
      <w:proofErr w:type="spellEnd"/>
      <w:r w:rsidRPr="00B85E4D">
        <w:rPr>
          <w:rFonts w:cs="Times New Roman"/>
          <w:sz w:val="24"/>
          <w:szCs w:val="24"/>
          <w:lang w:val="en-GB"/>
        </w:rPr>
        <w:t xml:space="preserve"> and </w:t>
      </w:r>
      <w:proofErr w:type="spellStart"/>
      <w:r w:rsidRPr="00B85E4D">
        <w:rPr>
          <w:rFonts w:cs="Times New Roman"/>
          <w:sz w:val="24"/>
          <w:szCs w:val="24"/>
          <w:lang w:val="en-GB"/>
        </w:rPr>
        <w:t>H</w:t>
      </w:r>
      <w:r w:rsidRPr="00B85E4D">
        <w:rPr>
          <w:rFonts w:cs="Times New Roman"/>
          <w:sz w:val="24"/>
          <w:szCs w:val="24"/>
          <w:vertAlign w:val="subscript"/>
          <w:lang w:val="en-GB"/>
        </w:rPr>
        <w:t>fx</w:t>
      </w:r>
      <w:proofErr w:type="spellEnd"/>
      <w:r w:rsidRPr="00B85E4D">
        <w:rPr>
          <w:rFonts w:cs="Times New Roman"/>
          <w:sz w:val="24"/>
          <w:szCs w:val="24"/>
          <w:lang w:val="en-GB"/>
        </w:rPr>
        <w:t xml:space="preserve"> are defined in accordance with paragraph 87 of Regulation No. 112/2018.</w:t>
      </w:r>
    </w:p>
    <w:p w14:paraId="1885B7B5" w14:textId="77777777" w:rsidR="00564B85" w:rsidRPr="00B85E4D" w:rsidRDefault="00564B85" w:rsidP="00564B85">
      <w:pPr>
        <w:spacing w:after="0"/>
        <w:ind w:firstLine="708"/>
        <w:jc w:val="both"/>
        <w:rPr>
          <w:rFonts w:cs="Times New Roman"/>
          <w:sz w:val="24"/>
          <w:szCs w:val="24"/>
          <w:lang w:val="en-GB"/>
        </w:rPr>
      </w:pPr>
    </w:p>
    <w:p w14:paraId="6EAF99E3" w14:textId="35ECDD7D" w:rsidR="00564B85" w:rsidRPr="00B85E4D" w:rsidRDefault="00E00109" w:rsidP="00564B85">
      <w:pPr>
        <w:spacing w:after="0"/>
        <w:ind w:firstLine="708"/>
        <w:jc w:val="both"/>
        <w:rPr>
          <w:rFonts w:cs="Times New Roman"/>
          <w:sz w:val="24"/>
          <w:szCs w:val="24"/>
          <w:lang w:val="en-GB"/>
        </w:rPr>
      </w:pPr>
      <w:r w:rsidRPr="00B85E4D">
        <w:rPr>
          <w:rFonts w:cs="Times New Roman"/>
          <w:b/>
          <w:bCs/>
          <w:sz w:val="24"/>
          <w:szCs w:val="24"/>
          <w:lang w:val="en-GB"/>
        </w:rPr>
        <w:lastRenderedPageBreak/>
        <w:t>54.</w:t>
      </w:r>
      <w:r w:rsidRPr="00B85E4D">
        <w:rPr>
          <w:rFonts w:cs="Times New Roman"/>
          <w:sz w:val="24"/>
          <w:szCs w:val="24"/>
          <w:lang w:val="en-GB"/>
        </w:rPr>
        <w:t xml:space="preserve"> </w:t>
      </w:r>
      <w:r w:rsidR="00564B85" w:rsidRPr="00B85E4D">
        <w:rPr>
          <w:rFonts w:cs="Times New Roman"/>
          <w:sz w:val="24"/>
          <w:szCs w:val="24"/>
          <w:lang w:val="en-GB"/>
        </w:rPr>
        <w:t xml:space="preserve">For the purposes of paragraph 52, subparagraph 52.4, banks shall set the </w:t>
      </w:r>
      <w:r w:rsidRPr="00B85E4D">
        <w:rPr>
          <w:rFonts w:cs="Times New Roman"/>
          <w:sz w:val="24"/>
          <w:szCs w:val="24"/>
          <w:lang w:val="en-GB"/>
        </w:rPr>
        <w:t xml:space="preserve">liquidation </w:t>
      </w:r>
      <w:r w:rsidR="00564B85" w:rsidRPr="00B85E4D">
        <w:rPr>
          <w:rFonts w:cs="Times New Roman"/>
          <w:sz w:val="24"/>
          <w:szCs w:val="24"/>
          <w:lang w:val="en-GB"/>
        </w:rPr>
        <w:t xml:space="preserve">period </w:t>
      </w:r>
      <w:r w:rsidRPr="00B85E4D">
        <w:rPr>
          <w:rFonts w:cs="Times New Roman"/>
          <w:sz w:val="24"/>
          <w:szCs w:val="24"/>
          <w:lang w:val="en-GB"/>
        </w:rPr>
        <w:t>relevant</w:t>
      </w:r>
      <w:r w:rsidR="00564B85" w:rsidRPr="00B85E4D">
        <w:rPr>
          <w:rFonts w:cs="Times New Roman"/>
          <w:sz w:val="24"/>
          <w:szCs w:val="24"/>
          <w:lang w:val="en-GB"/>
        </w:rPr>
        <w:t xml:space="preserve"> for </w:t>
      </w:r>
      <w:r w:rsidRPr="00B85E4D">
        <w:rPr>
          <w:rFonts w:cs="Times New Roman"/>
          <w:sz w:val="24"/>
          <w:szCs w:val="24"/>
          <w:lang w:val="en-GB"/>
        </w:rPr>
        <w:t xml:space="preserve">the </w:t>
      </w:r>
      <w:r w:rsidR="00564B85" w:rsidRPr="00B85E4D">
        <w:rPr>
          <w:rFonts w:cs="Times New Roman"/>
          <w:sz w:val="24"/>
          <w:szCs w:val="24"/>
          <w:lang w:val="en-GB"/>
        </w:rPr>
        <w:t>calculati</w:t>
      </w:r>
      <w:r w:rsidRPr="00B85E4D">
        <w:rPr>
          <w:rFonts w:cs="Times New Roman"/>
          <w:sz w:val="24"/>
          <w:szCs w:val="24"/>
          <w:lang w:val="en-GB"/>
        </w:rPr>
        <w:t>on of</w:t>
      </w:r>
      <w:r w:rsidR="00564B85" w:rsidRPr="00B85E4D">
        <w:rPr>
          <w:rFonts w:cs="Times New Roman"/>
          <w:sz w:val="24"/>
          <w:szCs w:val="24"/>
          <w:lang w:val="en-GB"/>
        </w:rPr>
        <w:t xml:space="preserve"> the volatility-adjusted value of </w:t>
      </w:r>
      <w:r w:rsidRPr="00B85E4D">
        <w:rPr>
          <w:rFonts w:cs="Times New Roman"/>
          <w:sz w:val="24"/>
          <w:szCs w:val="24"/>
          <w:lang w:val="en-GB"/>
        </w:rPr>
        <w:t xml:space="preserve">any </w:t>
      </w:r>
      <w:r w:rsidR="00564B85" w:rsidRPr="00B85E4D">
        <w:rPr>
          <w:rFonts w:cs="Times New Roman"/>
          <w:sz w:val="24"/>
          <w:szCs w:val="24"/>
          <w:lang w:val="en-GB"/>
        </w:rPr>
        <w:t>collateral received or posted at one year for the netting sets referred to in paragraph 49.</w:t>
      </w:r>
    </w:p>
    <w:p w14:paraId="31D02A14" w14:textId="77777777" w:rsidR="00E00109" w:rsidRPr="00B85E4D" w:rsidRDefault="00E00109" w:rsidP="00564B85">
      <w:pPr>
        <w:spacing w:after="0"/>
        <w:ind w:firstLine="708"/>
        <w:jc w:val="both"/>
        <w:rPr>
          <w:rFonts w:cs="Times New Roman"/>
          <w:sz w:val="24"/>
          <w:szCs w:val="24"/>
          <w:lang w:val="en-GB"/>
        </w:rPr>
      </w:pPr>
    </w:p>
    <w:p w14:paraId="3DE46C6D" w14:textId="7F2063B7" w:rsidR="005458B6" w:rsidRPr="00B85E4D" w:rsidRDefault="00E00109" w:rsidP="005458B6">
      <w:pPr>
        <w:spacing w:after="0"/>
        <w:ind w:firstLine="708"/>
        <w:jc w:val="center"/>
        <w:rPr>
          <w:rFonts w:cs="Times New Roman"/>
          <w:i/>
          <w:iCs/>
          <w:sz w:val="24"/>
          <w:szCs w:val="24"/>
          <w:lang w:val="en-GB"/>
        </w:rPr>
      </w:pPr>
      <w:r w:rsidRPr="00B85E4D">
        <w:rPr>
          <w:rFonts w:cs="Times New Roman"/>
          <w:i/>
          <w:iCs/>
          <w:sz w:val="24"/>
          <w:szCs w:val="24"/>
          <w:lang w:val="en-GB"/>
        </w:rPr>
        <w:t>Section 4</w:t>
      </w:r>
    </w:p>
    <w:p w14:paraId="79C478D2" w14:textId="299F6E8E" w:rsidR="00E00109" w:rsidRPr="00B85E4D" w:rsidRDefault="005B5342" w:rsidP="005458B6">
      <w:pPr>
        <w:spacing w:after="0"/>
        <w:ind w:firstLine="708"/>
        <w:jc w:val="center"/>
        <w:rPr>
          <w:rFonts w:cs="Times New Roman"/>
          <w:b/>
          <w:bCs/>
          <w:sz w:val="24"/>
          <w:szCs w:val="24"/>
          <w:lang w:val="en-GB"/>
        </w:rPr>
      </w:pPr>
      <w:r w:rsidRPr="00B85E4D">
        <w:rPr>
          <w:rFonts w:cs="Times New Roman"/>
          <w:b/>
          <w:bCs/>
          <w:sz w:val="24"/>
          <w:szCs w:val="24"/>
          <w:lang w:val="en-GB"/>
        </w:rPr>
        <w:t xml:space="preserve">Mapping of transactions to </w:t>
      </w:r>
      <w:r w:rsidR="00E00109" w:rsidRPr="00B85E4D">
        <w:rPr>
          <w:rFonts w:cs="Times New Roman"/>
          <w:b/>
          <w:bCs/>
          <w:sz w:val="24"/>
          <w:szCs w:val="24"/>
          <w:lang w:val="en-GB"/>
        </w:rPr>
        <w:t>risk categories</w:t>
      </w:r>
    </w:p>
    <w:p w14:paraId="015BFE37" w14:textId="77777777" w:rsidR="00E00109" w:rsidRPr="00B85E4D" w:rsidRDefault="00E00109" w:rsidP="00E00109">
      <w:pPr>
        <w:spacing w:after="0"/>
        <w:ind w:firstLine="708"/>
        <w:jc w:val="both"/>
        <w:rPr>
          <w:rFonts w:cs="Times New Roman"/>
          <w:sz w:val="24"/>
          <w:szCs w:val="24"/>
          <w:lang w:val="en-GB"/>
        </w:rPr>
      </w:pPr>
    </w:p>
    <w:p w14:paraId="41342313" w14:textId="26B2F494" w:rsidR="00E00109" w:rsidRPr="00B85E4D" w:rsidRDefault="005458B6" w:rsidP="00E00109">
      <w:pPr>
        <w:spacing w:after="0"/>
        <w:ind w:firstLine="708"/>
        <w:jc w:val="both"/>
        <w:rPr>
          <w:rFonts w:cs="Times New Roman"/>
          <w:sz w:val="24"/>
          <w:szCs w:val="24"/>
          <w:lang w:val="en-GB"/>
        </w:rPr>
      </w:pPr>
      <w:r w:rsidRPr="00B85E4D">
        <w:rPr>
          <w:rFonts w:cs="Times New Roman"/>
          <w:b/>
          <w:bCs/>
          <w:sz w:val="24"/>
          <w:szCs w:val="24"/>
          <w:lang w:val="en-GB"/>
        </w:rPr>
        <w:t>55.</w:t>
      </w:r>
      <w:r w:rsidRPr="00B85E4D">
        <w:rPr>
          <w:rFonts w:cs="Times New Roman"/>
          <w:sz w:val="24"/>
          <w:szCs w:val="24"/>
          <w:lang w:val="en-GB"/>
        </w:rPr>
        <w:t xml:space="preserve"> </w:t>
      </w:r>
      <w:r w:rsidR="00E00109" w:rsidRPr="00B85E4D">
        <w:rPr>
          <w:rFonts w:cs="Times New Roman"/>
          <w:sz w:val="24"/>
          <w:szCs w:val="24"/>
          <w:lang w:val="en-GB"/>
        </w:rPr>
        <w:t xml:space="preserve">Banks shall </w:t>
      </w:r>
      <w:r w:rsidR="005B5342" w:rsidRPr="00B85E4D">
        <w:rPr>
          <w:rFonts w:cs="Times New Roman"/>
          <w:sz w:val="24"/>
          <w:szCs w:val="24"/>
          <w:lang w:val="en-GB"/>
        </w:rPr>
        <w:t>map</w:t>
      </w:r>
      <w:r w:rsidR="00E00109" w:rsidRPr="00B85E4D">
        <w:rPr>
          <w:rFonts w:cs="Times New Roman"/>
          <w:sz w:val="24"/>
          <w:szCs w:val="24"/>
          <w:lang w:val="en-GB"/>
        </w:rPr>
        <w:t xml:space="preserve"> each transaction </w:t>
      </w:r>
      <w:r w:rsidR="005B5342" w:rsidRPr="00B85E4D">
        <w:rPr>
          <w:rFonts w:cs="Times New Roman"/>
          <w:sz w:val="24"/>
          <w:szCs w:val="24"/>
          <w:lang w:val="en-GB"/>
        </w:rPr>
        <w:t>of</w:t>
      </w:r>
      <w:r w:rsidR="00E00109" w:rsidRPr="00B85E4D">
        <w:rPr>
          <w:rFonts w:cs="Times New Roman"/>
          <w:sz w:val="24"/>
          <w:szCs w:val="24"/>
          <w:lang w:val="en-GB"/>
        </w:rPr>
        <w:t xml:space="preserve"> a netting set to one of the following risk categories </w:t>
      </w:r>
      <w:proofErr w:type="gramStart"/>
      <w:r w:rsidR="00E00109" w:rsidRPr="00B85E4D">
        <w:rPr>
          <w:rFonts w:cs="Times New Roman"/>
          <w:sz w:val="24"/>
          <w:szCs w:val="24"/>
          <w:lang w:val="en-GB"/>
        </w:rPr>
        <w:t>in order to</w:t>
      </w:r>
      <w:proofErr w:type="gramEnd"/>
      <w:r w:rsidR="00E00109" w:rsidRPr="00B85E4D">
        <w:rPr>
          <w:rFonts w:cs="Times New Roman"/>
          <w:sz w:val="24"/>
          <w:szCs w:val="24"/>
          <w:lang w:val="en-GB"/>
        </w:rPr>
        <w:t xml:space="preserve"> determine the potential future exposure of the netting set referred to in paragraphs 66–68:</w:t>
      </w:r>
    </w:p>
    <w:p w14:paraId="0832785B" w14:textId="77777777" w:rsidR="00E00109" w:rsidRPr="00B85E4D" w:rsidRDefault="00E00109" w:rsidP="00E00109">
      <w:pPr>
        <w:spacing w:after="0"/>
        <w:ind w:firstLine="708"/>
        <w:jc w:val="both"/>
        <w:rPr>
          <w:rFonts w:cs="Times New Roman"/>
          <w:sz w:val="24"/>
          <w:szCs w:val="24"/>
          <w:lang w:val="en-GB"/>
        </w:rPr>
      </w:pPr>
      <w:r w:rsidRPr="00B85E4D">
        <w:rPr>
          <w:rFonts w:cs="Times New Roman"/>
          <w:sz w:val="24"/>
          <w:szCs w:val="24"/>
          <w:lang w:val="en-GB"/>
        </w:rPr>
        <w:t xml:space="preserve">55.1. interest rate </w:t>
      </w:r>
      <w:proofErr w:type="gramStart"/>
      <w:r w:rsidRPr="00B85E4D">
        <w:rPr>
          <w:rFonts w:cs="Times New Roman"/>
          <w:sz w:val="24"/>
          <w:szCs w:val="24"/>
          <w:lang w:val="en-GB"/>
        </w:rPr>
        <w:t>risk;</w:t>
      </w:r>
      <w:proofErr w:type="gramEnd"/>
    </w:p>
    <w:p w14:paraId="134001F2" w14:textId="77777777" w:rsidR="00E00109" w:rsidRPr="00B85E4D" w:rsidRDefault="00E00109" w:rsidP="00E00109">
      <w:pPr>
        <w:spacing w:after="0"/>
        <w:ind w:firstLine="708"/>
        <w:jc w:val="both"/>
        <w:rPr>
          <w:rFonts w:cs="Times New Roman"/>
          <w:sz w:val="24"/>
          <w:szCs w:val="24"/>
          <w:lang w:val="en-GB"/>
        </w:rPr>
      </w:pPr>
      <w:r w:rsidRPr="00B85E4D">
        <w:rPr>
          <w:rFonts w:cs="Times New Roman"/>
          <w:sz w:val="24"/>
          <w:szCs w:val="24"/>
          <w:lang w:val="en-GB"/>
        </w:rPr>
        <w:t xml:space="preserve">55.2. foreign exchange </w:t>
      </w:r>
      <w:proofErr w:type="gramStart"/>
      <w:r w:rsidRPr="00B85E4D">
        <w:rPr>
          <w:rFonts w:cs="Times New Roman"/>
          <w:sz w:val="24"/>
          <w:szCs w:val="24"/>
          <w:lang w:val="en-GB"/>
        </w:rPr>
        <w:t>risk;</w:t>
      </w:r>
      <w:proofErr w:type="gramEnd"/>
    </w:p>
    <w:p w14:paraId="19974DF3" w14:textId="77777777" w:rsidR="00E00109" w:rsidRPr="00B85E4D" w:rsidRDefault="00E00109" w:rsidP="00E00109">
      <w:pPr>
        <w:spacing w:after="0"/>
        <w:ind w:firstLine="708"/>
        <w:jc w:val="both"/>
        <w:rPr>
          <w:rFonts w:cs="Times New Roman"/>
          <w:sz w:val="24"/>
          <w:szCs w:val="24"/>
          <w:lang w:val="en-GB"/>
        </w:rPr>
      </w:pPr>
      <w:r w:rsidRPr="00B85E4D">
        <w:rPr>
          <w:rFonts w:cs="Times New Roman"/>
          <w:sz w:val="24"/>
          <w:szCs w:val="24"/>
          <w:lang w:val="en-GB"/>
        </w:rPr>
        <w:t xml:space="preserve">55.3. credit </w:t>
      </w:r>
      <w:proofErr w:type="gramStart"/>
      <w:r w:rsidRPr="00B85E4D">
        <w:rPr>
          <w:rFonts w:cs="Times New Roman"/>
          <w:sz w:val="24"/>
          <w:szCs w:val="24"/>
          <w:lang w:val="en-GB"/>
        </w:rPr>
        <w:t>risk;</w:t>
      </w:r>
      <w:proofErr w:type="gramEnd"/>
    </w:p>
    <w:p w14:paraId="5C961D1F" w14:textId="77777777" w:rsidR="00E00109" w:rsidRPr="00B85E4D" w:rsidRDefault="00E00109" w:rsidP="00E00109">
      <w:pPr>
        <w:spacing w:after="0"/>
        <w:ind w:firstLine="708"/>
        <w:jc w:val="both"/>
        <w:rPr>
          <w:rFonts w:cs="Times New Roman"/>
          <w:sz w:val="24"/>
          <w:szCs w:val="24"/>
          <w:lang w:val="en-GB"/>
        </w:rPr>
      </w:pPr>
      <w:r w:rsidRPr="00B85E4D">
        <w:rPr>
          <w:rFonts w:cs="Times New Roman"/>
          <w:sz w:val="24"/>
          <w:szCs w:val="24"/>
          <w:lang w:val="en-GB"/>
        </w:rPr>
        <w:t xml:space="preserve">55.4. equity </w:t>
      </w:r>
      <w:proofErr w:type="gramStart"/>
      <w:r w:rsidRPr="00B85E4D">
        <w:rPr>
          <w:rFonts w:cs="Times New Roman"/>
          <w:sz w:val="24"/>
          <w:szCs w:val="24"/>
          <w:lang w:val="en-GB"/>
        </w:rPr>
        <w:t>risk;</w:t>
      </w:r>
      <w:proofErr w:type="gramEnd"/>
    </w:p>
    <w:p w14:paraId="05E810CC" w14:textId="77777777" w:rsidR="00E00109" w:rsidRPr="00B85E4D" w:rsidRDefault="00E00109" w:rsidP="00E00109">
      <w:pPr>
        <w:spacing w:after="0"/>
        <w:ind w:firstLine="708"/>
        <w:jc w:val="both"/>
        <w:rPr>
          <w:rFonts w:cs="Times New Roman"/>
          <w:sz w:val="24"/>
          <w:szCs w:val="24"/>
          <w:lang w:val="en-GB"/>
        </w:rPr>
      </w:pPr>
      <w:r w:rsidRPr="00B85E4D">
        <w:rPr>
          <w:rFonts w:cs="Times New Roman"/>
          <w:sz w:val="24"/>
          <w:szCs w:val="24"/>
          <w:lang w:val="en-GB"/>
        </w:rPr>
        <w:t xml:space="preserve">55.5. commodity </w:t>
      </w:r>
      <w:proofErr w:type="gramStart"/>
      <w:r w:rsidRPr="00B85E4D">
        <w:rPr>
          <w:rFonts w:cs="Times New Roman"/>
          <w:sz w:val="24"/>
          <w:szCs w:val="24"/>
          <w:lang w:val="en-GB"/>
        </w:rPr>
        <w:t>risk;</w:t>
      </w:r>
      <w:proofErr w:type="gramEnd"/>
    </w:p>
    <w:p w14:paraId="32D9101E" w14:textId="77777777" w:rsidR="00E00109" w:rsidRPr="00B85E4D" w:rsidRDefault="00E00109" w:rsidP="00E00109">
      <w:pPr>
        <w:spacing w:after="0"/>
        <w:ind w:firstLine="708"/>
        <w:jc w:val="both"/>
        <w:rPr>
          <w:rFonts w:cs="Times New Roman"/>
          <w:sz w:val="24"/>
          <w:szCs w:val="24"/>
          <w:lang w:val="en-GB"/>
        </w:rPr>
      </w:pPr>
      <w:r w:rsidRPr="00B85E4D">
        <w:rPr>
          <w:rFonts w:cs="Times New Roman"/>
          <w:sz w:val="24"/>
          <w:szCs w:val="24"/>
          <w:lang w:val="en-GB"/>
        </w:rPr>
        <w:t>55.6. other risks.</w:t>
      </w:r>
    </w:p>
    <w:p w14:paraId="1E0C0BA2" w14:textId="231DD78E" w:rsidR="00E00109" w:rsidRPr="00B85E4D" w:rsidRDefault="005B5342" w:rsidP="00E00109">
      <w:pPr>
        <w:spacing w:after="0"/>
        <w:ind w:firstLine="708"/>
        <w:jc w:val="both"/>
        <w:rPr>
          <w:rFonts w:cs="Times New Roman"/>
          <w:sz w:val="24"/>
          <w:szCs w:val="24"/>
          <w:lang w:val="en-GB"/>
        </w:rPr>
      </w:pPr>
      <w:r w:rsidRPr="00B85E4D">
        <w:rPr>
          <w:rFonts w:cs="Times New Roman"/>
          <w:b/>
          <w:bCs/>
          <w:sz w:val="24"/>
          <w:szCs w:val="24"/>
          <w:lang w:val="en-GB"/>
        </w:rPr>
        <w:t>56.</w:t>
      </w:r>
      <w:r w:rsidRPr="00B85E4D">
        <w:rPr>
          <w:rFonts w:cs="Times New Roman"/>
          <w:sz w:val="24"/>
          <w:szCs w:val="24"/>
          <w:lang w:val="en-GB"/>
        </w:rPr>
        <w:t xml:space="preserve"> </w:t>
      </w:r>
      <w:r w:rsidR="00E00109" w:rsidRPr="00B85E4D">
        <w:rPr>
          <w:rFonts w:cs="Times New Roman"/>
          <w:sz w:val="24"/>
          <w:szCs w:val="24"/>
          <w:lang w:val="en-GB"/>
        </w:rPr>
        <w:t xml:space="preserve">Banks shall </w:t>
      </w:r>
      <w:r w:rsidRPr="00B85E4D">
        <w:rPr>
          <w:rFonts w:cs="Times New Roman"/>
          <w:sz w:val="24"/>
          <w:szCs w:val="24"/>
          <w:lang w:val="en-GB"/>
        </w:rPr>
        <w:t>conduct the mapping</w:t>
      </w:r>
      <w:r w:rsidR="00E00109" w:rsidRPr="00B85E4D">
        <w:rPr>
          <w:rFonts w:cs="Times New Roman"/>
          <w:sz w:val="24"/>
          <w:szCs w:val="24"/>
          <w:lang w:val="en-GB"/>
        </w:rPr>
        <w:t xml:space="preserve"> referred to in paragraph 55 </w:t>
      </w:r>
      <w:proofErr w:type="gramStart"/>
      <w:r w:rsidRPr="00B85E4D">
        <w:rPr>
          <w:sz w:val="24"/>
          <w:szCs w:val="24"/>
          <w:lang w:val="en-GB"/>
        </w:rPr>
        <w:t>on the basis of</w:t>
      </w:r>
      <w:proofErr w:type="gramEnd"/>
      <w:r w:rsidRPr="00B85E4D">
        <w:rPr>
          <w:sz w:val="24"/>
          <w:szCs w:val="24"/>
          <w:lang w:val="en-GB"/>
        </w:rPr>
        <w:t xml:space="preserve"> the primary risk driver of a derivative transaction. The primary risk driver shall be the only material risk driver of a derivative transaction</w:t>
      </w:r>
      <w:r w:rsidR="00E00109" w:rsidRPr="00B85E4D">
        <w:rPr>
          <w:rFonts w:cs="Times New Roman"/>
          <w:sz w:val="24"/>
          <w:szCs w:val="24"/>
          <w:lang w:val="en-GB"/>
        </w:rPr>
        <w:t>.</w:t>
      </w:r>
    </w:p>
    <w:p w14:paraId="2520DE39" w14:textId="5777A939" w:rsidR="00E00109" w:rsidRPr="00B85E4D" w:rsidRDefault="005B5342" w:rsidP="00E00109">
      <w:pPr>
        <w:spacing w:after="0"/>
        <w:ind w:firstLine="708"/>
        <w:jc w:val="both"/>
        <w:rPr>
          <w:rFonts w:cs="Times New Roman"/>
          <w:sz w:val="24"/>
          <w:szCs w:val="24"/>
          <w:lang w:val="en-GB"/>
        </w:rPr>
      </w:pPr>
      <w:r w:rsidRPr="00B85E4D">
        <w:rPr>
          <w:rFonts w:cs="Times New Roman"/>
          <w:b/>
          <w:bCs/>
          <w:sz w:val="24"/>
          <w:szCs w:val="24"/>
          <w:lang w:val="en-GB"/>
        </w:rPr>
        <w:t>57.</w:t>
      </w:r>
      <w:r w:rsidRPr="00B85E4D">
        <w:rPr>
          <w:rFonts w:cs="Times New Roman"/>
          <w:sz w:val="24"/>
          <w:szCs w:val="24"/>
          <w:lang w:val="en-GB"/>
        </w:rPr>
        <w:t xml:space="preserve"> </w:t>
      </w:r>
      <w:r w:rsidR="00E00109" w:rsidRPr="00B85E4D">
        <w:rPr>
          <w:rFonts w:cs="Times New Roman"/>
          <w:sz w:val="24"/>
          <w:szCs w:val="24"/>
          <w:lang w:val="en-GB"/>
        </w:rPr>
        <w:t xml:space="preserve">By way of derogation from paragraph 56, banks shall </w:t>
      </w:r>
      <w:proofErr w:type="spellStart"/>
      <w:r w:rsidRPr="00B85E4D">
        <w:rPr>
          <w:sz w:val="24"/>
          <w:szCs w:val="24"/>
          <w:lang w:val="en-GB"/>
        </w:rPr>
        <w:t>shall</w:t>
      </w:r>
      <w:proofErr w:type="spellEnd"/>
      <w:r w:rsidRPr="00B85E4D">
        <w:rPr>
          <w:sz w:val="24"/>
          <w:szCs w:val="24"/>
          <w:lang w:val="en-GB"/>
        </w:rPr>
        <w:t xml:space="preserve"> map derivative transactions that have more than one material risk driver to more than one risk category. Where all the material risk drivers of one of those transactions belong to the same risk category, banks shall only be required to map that transaction once to that risk category </w:t>
      </w:r>
      <w:proofErr w:type="gramStart"/>
      <w:r w:rsidRPr="00B85E4D">
        <w:rPr>
          <w:sz w:val="24"/>
          <w:szCs w:val="24"/>
          <w:lang w:val="en-GB"/>
        </w:rPr>
        <w:t>on the basis of</w:t>
      </w:r>
      <w:proofErr w:type="gramEnd"/>
      <w:r w:rsidRPr="00B85E4D">
        <w:rPr>
          <w:sz w:val="24"/>
          <w:szCs w:val="24"/>
          <w:lang w:val="en-GB"/>
        </w:rPr>
        <w:t xml:space="preserve"> the most material of those risk drivers. Where the material risk drivers of one of those transactions belong to different risk categories, </w:t>
      </w:r>
      <w:r w:rsidR="00865CE4" w:rsidRPr="00B85E4D">
        <w:rPr>
          <w:sz w:val="24"/>
          <w:szCs w:val="24"/>
          <w:lang w:val="en-GB"/>
        </w:rPr>
        <w:t>bank</w:t>
      </w:r>
      <w:r w:rsidRPr="00B85E4D">
        <w:rPr>
          <w:sz w:val="24"/>
          <w:szCs w:val="24"/>
          <w:lang w:val="en-GB"/>
        </w:rPr>
        <w:t xml:space="preserve">s shall map that transaction once to each risk category for which the transaction has at least one material risk driver, </w:t>
      </w:r>
      <w:proofErr w:type="gramStart"/>
      <w:r w:rsidRPr="00B85E4D">
        <w:rPr>
          <w:sz w:val="24"/>
          <w:szCs w:val="24"/>
          <w:lang w:val="en-GB"/>
        </w:rPr>
        <w:t>on the basis of</w:t>
      </w:r>
      <w:proofErr w:type="gramEnd"/>
      <w:r w:rsidRPr="00B85E4D">
        <w:rPr>
          <w:sz w:val="24"/>
          <w:szCs w:val="24"/>
          <w:lang w:val="en-GB"/>
        </w:rPr>
        <w:t xml:space="preserve"> the most material of the risk drivers in that risk category</w:t>
      </w:r>
      <w:r w:rsidR="00E00109" w:rsidRPr="00B85E4D">
        <w:rPr>
          <w:rFonts w:cs="Times New Roman"/>
          <w:sz w:val="24"/>
          <w:szCs w:val="24"/>
          <w:lang w:val="en-GB"/>
        </w:rPr>
        <w:t>.</w:t>
      </w:r>
    </w:p>
    <w:p w14:paraId="2A93389F" w14:textId="5AAC544F" w:rsidR="00E00109" w:rsidRPr="00B85E4D" w:rsidRDefault="005B5342" w:rsidP="00E00109">
      <w:pPr>
        <w:spacing w:after="0"/>
        <w:ind w:firstLine="708"/>
        <w:jc w:val="both"/>
        <w:rPr>
          <w:rFonts w:cs="Times New Roman"/>
          <w:sz w:val="24"/>
          <w:szCs w:val="24"/>
          <w:lang w:val="en-GB"/>
        </w:rPr>
      </w:pPr>
      <w:r w:rsidRPr="00B85E4D">
        <w:rPr>
          <w:rFonts w:cs="Times New Roman"/>
          <w:b/>
          <w:bCs/>
          <w:sz w:val="24"/>
          <w:szCs w:val="24"/>
          <w:lang w:val="en-GB"/>
        </w:rPr>
        <w:t>58.</w:t>
      </w:r>
      <w:r w:rsidRPr="00B85E4D">
        <w:rPr>
          <w:rFonts w:cs="Times New Roman"/>
          <w:sz w:val="24"/>
          <w:szCs w:val="24"/>
          <w:lang w:val="en-GB"/>
        </w:rPr>
        <w:t xml:space="preserve"> </w:t>
      </w:r>
      <w:r w:rsidR="00E00109" w:rsidRPr="00B85E4D">
        <w:rPr>
          <w:rFonts w:cs="Times New Roman"/>
          <w:sz w:val="24"/>
          <w:szCs w:val="24"/>
          <w:lang w:val="en-GB"/>
        </w:rPr>
        <w:t xml:space="preserve">By way of derogation from paragraphs 55–57, when </w:t>
      </w:r>
      <w:r w:rsidRPr="00B85E4D">
        <w:rPr>
          <w:rFonts w:cs="Times New Roman"/>
          <w:sz w:val="24"/>
          <w:szCs w:val="24"/>
          <w:lang w:val="en-GB"/>
        </w:rPr>
        <w:t>mapping</w:t>
      </w:r>
      <w:r w:rsidR="00E00109" w:rsidRPr="00B85E4D">
        <w:rPr>
          <w:rFonts w:cs="Times New Roman"/>
          <w:sz w:val="24"/>
          <w:szCs w:val="24"/>
          <w:lang w:val="en-GB"/>
        </w:rPr>
        <w:t xml:space="preserve"> transactions to the risk categories listed in paragraph 55, banks shall apply the following requirements:</w:t>
      </w:r>
    </w:p>
    <w:p w14:paraId="6CEFED52" w14:textId="77777777" w:rsidR="00E00109" w:rsidRPr="00B85E4D" w:rsidRDefault="00E00109" w:rsidP="00E00109">
      <w:pPr>
        <w:spacing w:after="0"/>
        <w:ind w:firstLine="708"/>
        <w:jc w:val="both"/>
        <w:rPr>
          <w:rFonts w:cs="Times New Roman"/>
          <w:sz w:val="24"/>
          <w:szCs w:val="24"/>
          <w:lang w:val="en-GB"/>
        </w:rPr>
      </w:pPr>
      <w:r w:rsidRPr="00B85E4D">
        <w:rPr>
          <w:rFonts w:cs="Times New Roman"/>
          <w:sz w:val="24"/>
          <w:szCs w:val="24"/>
          <w:lang w:val="en-GB"/>
        </w:rPr>
        <w:t xml:space="preserve">58.1. where the primary risk driver of a transaction, or the most material risk driver within a particular risk category for transactions referred to in paragraph 57, is a variable related to inflation, banks shall assign that transaction to the interest rate risk </w:t>
      </w:r>
      <w:proofErr w:type="gramStart"/>
      <w:r w:rsidRPr="00B85E4D">
        <w:rPr>
          <w:rFonts w:cs="Times New Roman"/>
          <w:sz w:val="24"/>
          <w:szCs w:val="24"/>
          <w:lang w:val="en-GB"/>
        </w:rPr>
        <w:t>category;</w:t>
      </w:r>
      <w:proofErr w:type="gramEnd"/>
    </w:p>
    <w:p w14:paraId="68203326" w14:textId="6D01533E" w:rsidR="00E00109" w:rsidRPr="00B85E4D" w:rsidRDefault="00E00109" w:rsidP="00E00109">
      <w:pPr>
        <w:spacing w:after="0"/>
        <w:ind w:firstLine="708"/>
        <w:jc w:val="both"/>
        <w:rPr>
          <w:rFonts w:cs="Times New Roman"/>
          <w:sz w:val="24"/>
          <w:szCs w:val="24"/>
          <w:lang w:val="en-GB"/>
        </w:rPr>
      </w:pPr>
      <w:r w:rsidRPr="00B85E4D">
        <w:rPr>
          <w:rFonts w:cs="Times New Roman"/>
          <w:sz w:val="24"/>
          <w:szCs w:val="24"/>
          <w:lang w:val="en-GB"/>
        </w:rPr>
        <w:t>58.2. where the primary risk driver of a transaction, or the most material risk driver within a particular risk category for transactions referred to in paragraph 57, is a</w:t>
      </w:r>
      <w:r w:rsidR="005B5342" w:rsidRPr="00B85E4D">
        <w:rPr>
          <w:rFonts w:cs="Times New Roman"/>
          <w:sz w:val="24"/>
          <w:szCs w:val="24"/>
          <w:lang w:val="en-GB"/>
        </w:rPr>
        <w:t xml:space="preserve"> </w:t>
      </w:r>
      <w:r w:rsidRPr="00B85E4D">
        <w:rPr>
          <w:rFonts w:cs="Times New Roman"/>
          <w:sz w:val="24"/>
          <w:szCs w:val="24"/>
          <w:lang w:val="en-GB"/>
        </w:rPr>
        <w:t xml:space="preserve">variable related to weather conditions, banks shall </w:t>
      </w:r>
      <w:r w:rsidR="005B5342" w:rsidRPr="00B85E4D">
        <w:rPr>
          <w:rFonts w:cs="Times New Roman"/>
          <w:sz w:val="24"/>
          <w:szCs w:val="24"/>
          <w:lang w:val="en-GB"/>
        </w:rPr>
        <w:t>map</w:t>
      </w:r>
      <w:r w:rsidRPr="00B85E4D">
        <w:rPr>
          <w:rFonts w:cs="Times New Roman"/>
          <w:sz w:val="24"/>
          <w:szCs w:val="24"/>
          <w:lang w:val="en-GB"/>
        </w:rPr>
        <w:t xml:space="preserve"> that transaction to the </w:t>
      </w:r>
      <w:r w:rsidR="005B5342" w:rsidRPr="00B85E4D">
        <w:rPr>
          <w:rFonts w:cs="Times New Roman"/>
          <w:sz w:val="24"/>
          <w:szCs w:val="24"/>
          <w:lang w:val="en-GB"/>
        </w:rPr>
        <w:t>interest rate</w:t>
      </w:r>
      <w:r w:rsidRPr="00B85E4D">
        <w:rPr>
          <w:rFonts w:cs="Times New Roman"/>
          <w:sz w:val="24"/>
          <w:szCs w:val="24"/>
          <w:lang w:val="en-GB"/>
        </w:rPr>
        <w:t xml:space="preserve"> risk category.</w:t>
      </w:r>
    </w:p>
    <w:p w14:paraId="3D722B0C" w14:textId="77777777" w:rsidR="005B5342" w:rsidRPr="00B85E4D" w:rsidRDefault="005B5342" w:rsidP="00E00109">
      <w:pPr>
        <w:spacing w:after="0"/>
        <w:ind w:firstLine="708"/>
        <w:jc w:val="both"/>
        <w:rPr>
          <w:rFonts w:cs="Times New Roman"/>
          <w:sz w:val="24"/>
          <w:szCs w:val="24"/>
          <w:lang w:val="en-GB"/>
        </w:rPr>
      </w:pPr>
    </w:p>
    <w:p w14:paraId="2649186D" w14:textId="5D3AC68B" w:rsidR="005B5342" w:rsidRPr="00B85E4D" w:rsidRDefault="005B5342" w:rsidP="005B5342">
      <w:pPr>
        <w:spacing w:after="0"/>
        <w:ind w:firstLine="708"/>
        <w:jc w:val="center"/>
        <w:rPr>
          <w:rFonts w:cs="Times New Roman"/>
          <w:i/>
          <w:iCs/>
          <w:sz w:val="24"/>
          <w:szCs w:val="24"/>
          <w:lang w:val="en-GB"/>
        </w:rPr>
      </w:pPr>
      <w:r w:rsidRPr="00B85E4D">
        <w:rPr>
          <w:rFonts w:cs="Times New Roman"/>
          <w:i/>
          <w:iCs/>
          <w:sz w:val="24"/>
          <w:szCs w:val="24"/>
          <w:lang w:val="en-GB"/>
        </w:rPr>
        <w:t>Section 5</w:t>
      </w:r>
    </w:p>
    <w:p w14:paraId="1D7233AB" w14:textId="1274CF80" w:rsidR="005B5342" w:rsidRPr="00B85E4D" w:rsidRDefault="005B5342" w:rsidP="005B5342">
      <w:pPr>
        <w:spacing w:after="0"/>
        <w:ind w:firstLine="708"/>
        <w:jc w:val="center"/>
        <w:rPr>
          <w:rFonts w:cs="Times New Roman"/>
          <w:b/>
          <w:bCs/>
          <w:sz w:val="24"/>
          <w:szCs w:val="24"/>
          <w:lang w:val="en-GB"/>
        </w:rPr>
      </w:pPr>
      <w:r w:rsidRPr="00B85E4D">
        <w:rPr>
          <w:rFonts w:cs="Times New Roman"/>
          <w:b/>
          <w:bCs/>
          <w:sz w:val="24"/>
          <w:szCs w:val="24"/>
          <w:lang w:val="en-GB"/>
        </w:rPr>
        <w:t>Determination of hedging sets</w:t>
      </w:r>
    </w:p>
    <w:p w14:paraId="25B859FA" w14:textId="44EDE615" w:rsidR="005B5342" w:rsidRPr="00B85E4D" w:rsidRDefault="005B5342" w:rsidP="005B5342">
      <w:pPr>
        <w:spacing w:after="0"/>
        <w:ind w:firstLine="708"/>
        <w:jc w:val="both"/>
        <w:rPr>
          <w:rFonts w:cs="Times New Roman"/>
          <w:sz w:val="24"/>
          <w:szCs w:val="24"/>
          <w:lang w:val="en-GB"/>
        </w:rPr>
      </w:pPr>
      <w:r w:rsidRPr="00B85E4D">
        <w:rPr>
          <w:rFonts w:cs="Times New Roman"/>
          <w:b/>
          <w:bCs/>
          <w:sz w:val="24"/>
          <w:szCs w:val="24"/>
          <w:lang w:val="en-GB"/>
        </w:rPr>
        <w:t>59.</w:t>
      </w:r>
      <w:r w:rsidRPr="00B85E4D">
        <w:rPr>
          <w:rFonts w:cs="Times New Roman"/>
          <w:sz w:val="24"/>
          <w:szCs w:val="24"/>
          <w:lang w:val="en-GB"/>
        </w:rPr>
        <w:t xml:space="preserve"> Banks shall establish the relevant hedging sets for each risk category of a netting set and shall assign each transaction to those hedging sets as follows:</w:t>
      </w:r>
    </w:p>
    <w:p w14:paraId="2C609853" w14:textId="49459E95"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59.1. </w:t>
      </w:r>
      <w:r w:rsidRPr="00B85E4D">
        <w:rPr>
          <w:sz w:val="24"/>
          <w:szCs w:val="24"/>
          <w:lang w:val="en-GB"/>
        </w:rPr>
        <w:t>transactions mapped to the interest rate risk category shall be assigned to the same hedging set only where their primary risk driver, or the most material risk driver in the given risk category for transactions referred to</w:t>
      </w:r>
      <w:r w:rsidRPr="00B85E4D">
        <w:rPr>
          <w:rFonts w:cs="Times New Roman"/>
          <w:sz w:val="24"/>
          <w:szCs w:val="24"/>
          <w:lang w:val="en-GB"/>
        </w:rPr>
        <w:t xml:space="preserve"> in paragraph 57 is denominated in the same </w:t>
      </w:r>
      <w:proofErr w:type="gramStart"/>
      <w:r w:rsidRPr="00B85E4D">
        <w:rPr>
          <w:rFonts w:cs="Times New Roman"/>
          <w:sz w:val="24"/>
          <w:szCs w:val="24"/>
          <w:lang w:val="en-GB"/>
        </w:rPr>
        <w:t>currency;</w:t>
      </w:r>
      <w:proofErr w:type="gramEnd"/>
    </w:p>
    <w:p w14:paraId="10C06D17" w14:textId="4F367C46"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59.2. </w:t>
      </w:r>
      <w:r w:rsidRPr="00B85E4D">
        <w:rPr>
          <w:sz w:val="24"/>
          <w:szCs w:val="24"/>
          <w:lang w:val="en-GB"/>
        </w:rPr>
        <w:t xml:space="preserve">transactions mapped to the foreign exchange risk category shall be assigned to the same hedging set only where their primary risk driver, or the most material risk driver in the given risk category for transactions referred </w:t>
      </w:r>
      <w:r w:rsidRPr="00B85E4D">
        <w:rPr>
          <w:rFonts w:cs="Times New Roman"/>
          <w:sz w:val="24"/>
          <w:szCs w:val="24"/>
          <w:lang w:val="en-GB"/>
        </w:rPr>
        <w:t xml:space="preserve">to in paragraph 57 is denominated in the same </w:t>
      </w:r>
      <w:proofErr w:type="gramStart"/>
      <w:r w:rsidRPr="00B85E4D">
        <w:rPr>
          <w:rFonts w:cs="Times New Roman"/>
          <w:sz w:val="24"/>
          <w:szCs w:val="24"/>
          <w:lang w:val="en-GB"/>
        </w:rPr>
        <w:t>currency;</w:t>
      </w:r>
      <w:proofErr w:type="gramEnd"/>
    </w:p>
    <w:p w14:paraId="4125C307" w14:textId="00DCA6D4"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59.3. </w:t>
      </w:r>
      <w:r w:rsidRPr="00B85E4D">
        <w:rPr>
          <w:sz w:val="24"/>
          <w:szCs w:val="24"/>
          <w:lang w:val="en-GB"/>
        </w:rPr>
        <w:t xml:space="preserve">all the transactions mapped to the credit risk category shall be assigned to the same hedging </w:t>
      </w:r>
      <w:proofErr w:type="gramStart"/>
      <w:r w:rsidRPr="00B85E4D">
        <w:rPr>
          <w:sz w:val="24"/>
          <w:szCs w:val="24"/>
          <w:lang w:val="en-GB"/>
        </w:rPr>
        <w:t>set</w:t>
      </w:r>
      <w:r w:rsidRPr="00B85E4D">
        <w:rPr>
          <w:rFonts w:cs="Times New Roman"/>
          <w:sz w:val="24"/>
          <w:szCs w:val="24"/>
          <w:lang w:val="en-GB"/>
        </w:rPr>
        <w:t>;</w:t>
      </w:r>
      <w:proofErr w:type="gramEnd"/>
    </w:p>
    <w:p w14:paraId="60B7BBCF" w14:textId="5985EF61"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59.4. </w:t>
      </w:r>
      <w:r w:rsidRPr="00B85E4D">
        <w:rPr>
          <w:sz w:val="24"/>
          <w:szCs w:val="24"/>
          <w:lang w:val="en-GB"/>
        </w:rPr>
        <w:t xml:space="preserve">all the transactions mapped to the equity risk category shall be assigned to the same hedging </w:t>
      </w:r>
      <w:proofErr w:type="gramStart"/>
      <w:r w:rsidRPr="00B85E4D">
        <w:rPr>
          <w:sz w:val="24"/>
          <w:szCs w:val="24"/>
          <w:lang w:val="en-GB"/>
        </w:rPr>
        <w:t>set</w:t>
      </w:r>
      <w:r w:rsidRPr="00B85E4D">
        <w:rPr>
          <w:rFonts w:cs="Times New Roman"/>
          <w:sz w:val="24"/>
          <w:szCs w:val="24"/>
          <w:lang w:val="en-GB"/>
        </w:rPr>
        <w:t>;</w:t>
      </w:r>
      <w:proofErr w:type="gramEnd"/>
    </w:p>
    <w:p w14:paraId="03ACCCFE" w14:textId="15DEFA61"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lastRenderedPageBreak/>
        <w:t xml:space="preserve">59.5. </w:t>
      </w:r>
      <w:r w:rsidRPr="00B85E4D">
        <w:rPr>
          <w:sz w:val="24"/>
          <w:szCs w:val="24"/>
          <w:lang w:val="en-GB"/>
        </w:rPr>
        <w:t xml:space="preserve">transactions mapped to the commodity risk category shall be assigned to one of the following hedging sets </w:t>
      </w:r>
      <w:proofErr w:type="gramStart"/>
      <w:r w:rsidRPr="00B85E4D">
        <w:rPr>
          <w:sz w:val="24"/>
          <w:szCs w:val="24"/>
          <w:lang w:val="en-GB"/>
        </w:rPr>
        <w:t>on the basis of</w:t>
      </w:r>
      <w:proofErr w:type="gramEnd"/>
      <w:r w:rsidRPr="00B85E4D">
        <w:rPr>
          <w:sz w:val="24"/>
          <w:szCs w:val="24"/>
          <w:lang w:val="en-GB"/>
        </w:rPr>
        <w:t xml:space="preserve"> the nature of their primary risk driver or the most material risk driver in the given risk category for transactions referred to in </w:t>
      </w:r>
      <w:r w:rsidRPr="00B85E4D">
        <w:rPr>
          <w:rFonts w:cs="Times New Roman"/>
          <w:sz w:val="24"/>
          <w:szCs w:val="24"/>
          <w:lang w:val="en-GB"/>
        </w:rPr>
        <w:t>paragraph 57:</w:t>
      </w:r>
    </w:p>
    <w:p w14:paraId="1740E91E" w14:textId="77777777"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 59.5.1. </w:t>
      </w:r>
      <w:proofErr w:type="gramStart"/>
      <w:r w:rsidRPr="00B85E4D">
        <w:rPr>
          <w:rFonts w:cs="Times New Roman"/>
          <w:sz w:val="24"/>
          <w:szCs w:val="24"/>
          <w:lang w:val="en-GB"/>
        </w:rPr>
        <w:t>energy;</w:t>
      </w:r>
      <w:proofErr w:type="gramEnd"/>
    </w:p>
    <w:p w14:paraId="303BEA42" w14:textId="77777777"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 59.5.2. </w:t>
      </w:r>
      <w:proofErr w:type="gramStart"/>
      <w:r w:rsidRPr="00B85E4D">
        <w:rPr>
          <w:rFonts w:cs="Times New Roman"/>
          <w:sz w:val="24"/>
          <w:szCs w:val="24"/>
          <w:lang w:val="en-GB"/>
        </w:rPr>
        <w:t>metals;</w:t>
      </w:r>
      <w:proofErr w:type="gramEnd"/>
    </w:p>
    <w:p w14:paraId="0596AEF6" w14:textId="77777777"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 59.5.3. agricultural </w:t>
      </w:r>
      <w:proofErr w:type="gramStart"/>
      <w:r w:rsidRPr="00B85E4D">
        <w:rPr>
          <w:rFonts w:cs="Times New Roman"/>
          <w:sz w:val="24"/>
          <w:szCs w:val="24"/>
          <w:lang w:val="en-GB"/>
        </w:rPr>
        <w:t>products;</w:t>
      </w:r>
      <w:proofErr w:type="gramEnd"/>
    </w:p>
    <w:p w14:paraId="00C2C3B3" w14:textId="77777777"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 59.5.4. other </w:t>
      </w:r>
      <w:proofErr w:type="gramStart"/>
      <w:r w:rsidRPr="00B85E4D">
        <w:rPr>
          <w:rFonts w:cs="Times New Roman"/>
          <w:sz w:val="24"/>
          <w:szCs w:val="24"/>
          <w:lang w:val="en-GB"/>
        </w:rPr>
        <w:t>commodities;</w:t>
      </w:r>
      <w:proofErr w:type="gramEnd"/>
    </w:p>
    <w:p w14:paraId="4ADA6392" w14:textId="77777777"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 59.5.5. weather </w:t>
      </w:r>
      <w:proofErr w:type="gramStart"/>
      <w:r w:rsidRPr="00B85E4D">
        <w:rPr>
          <w:rFonts w:cs="Times New Roman"/>
          <w:sz w:val="24"/>
          <w:szCs w:val="24"/>
          <w:lang w:val="en-GB"/>
        </w:rPr>
        <w:t>conditions;</w:t>
      </w:r>
      <w:proofErr w:type="gramEnd"/>
    </w:p>
    <w:p w14:paraId="372AC510" w14:textId="48BB7878"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59.6. </w:t>
      </w:r>
      <w:r w:rsidRPr="00B85E4D">
        <w:rPr>
          <w:sz w:val="24"/>
          <w:szCs w:val="24"/>
          <w:lang w:val="en-GB"/>
        </w:rPr>
        <w:t xml:space="preserve">transactions mapped to the other risks category shall be assigned to the same hedging set only where their primary risk driver, or the most material risk driver in the given risk category for transactions referred to in </w:t>
      </w:r>
      <w:r w:rsidRPr="00B85E4D">
        <w:rPr>
          <w:rFonts w:cs="Times New Roman"/>
          <w:sz w:val="24"/>
          <w:szCs w:val="24"/>
          <w:lang w:val="en-GB"/>
        </w:rPr>
        <w:t>paragraph 57 is identical.</w:t>
      </w:r>
    </w:p>
    <w:p w14:paraId="0FAE03C3" w14:textId="2BB3018E" w:rsidR="005B5342" w:rsidRPr="00B85E4D" w:rsidRDefault="005B5342" w:rsidP="005B5342">
      <w:pPr>
        <w:spacing w:after="0"/>
        <w:ind w:firstLine="708"/>
        <w:jc w:val="both"/>
        <w:rPr>
          <w:rFonts w:cs="Times New Roman"/>
          <w:sz w:val="24"/>
          <w:szCs w:val="24"/>
          <w:lang w:val="en-GB"/>
        </w:rPr>
      </w:pPr>
      <w:r w:rsidRPr="00B85E4D">
        <w:rPr>
          <w:rFonts w:cs="Times New Roman"/>
          <w:b/>
          <w:bCs/>
          <w:sz w:val="24"/>
          <w:szCs w:val="24"/>
          <w:lang w:val="en-GB"/>
        </w:rPr>
        <w:t>60.</w:t>
      </w:r>
      <w:r w:rsidRPr="00B85E4D">
        <w:rPr>
          <w:rFonts w:cs="Times New Roman"/>
          <w:sz w:val="24"/>
          <w:szCs w:val="24"/>
          <w:lang w:val="en-GB"/>
        </w:rPr>
        <w:t xml:space="preserve"> For the purposes of paragraph 59, subparagraph 59.1, </w:t>
      </w:r>
      <w:r w:rsidRPr="00B85E4D">
        <w:rPr>
          <w:sz w:val="24"/>
          <w:szCs w:val="24"/>
          <w:lang w:val="en-GB"/>
        </w:rPr>
        <w:t xml:space="preserve">transactions mapped to the interest rate risk category that have an inflation variable as the primary risk driver shall be assigned to separate hedging sets, other than the hedging sets established for transactions mapped to the interest rate risk category that do not have an inflation variable as the primary risk driver. Those transactions shall be assigned to the same hedging set only where their primary risk driver, or the most material risk driver in the given risk category for transactions referred to in </w:t>
      </w:r>
      <w:r w:rsidRPr="00B85E4D">
        <w:rPr>
          <w:rFonts w:cs="Times New Roman"/>
          <w:sz w:val="24"/>
          <w:szCs w:val="24"/>
          <w:lang w:val="en-GB"/>
        </w:rPr>
        <w:t>paragraph 57 is denominated in the same currency.</w:t>
      </w:r>
    </w:p>
    <w:p w14:paraId="35DA1B9E" w14:textId="5FED704F"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61. By way of derogation from paragraphs 59 and 60, banks shall establish </w:t>
      </w:r>
      <w:r w:rsidR="00CF2AFF" w:rsidRPr="00B85E4D">
        <w:rPr>
          <w:rFonts w:cs="Times New Roman"/>
          <w:sz w:val="24"/>
          <w:szCs w:val="24"/>
          <w:lang w:val="en-GB"/>
        </w:rPr>
        <w:t>separate</w:t>
      </w:r>
      <w:r w:rsidRPr="00B85E4D">
        <w:rPr>
          <w:rFonts w:cs="Times New Roman"/>
          <w:sz w:val="24"/>
          <w:szCs w:val="24"/>
          <w:lang w:val="en-GB"/>
        </w:rPr>
        <w:t xml:space="preserve"> hedging sets </w:t>
      </w:r>
      <w:r w:rsidR="00CF2AFF" w:rsidRPr="00B85E4D">
        <w:rPr>
          <w:rFonts w:cs="Times New Roman"/>
          <w:sz w:val="24"/>
          <w:szCs w:val="24"/>
          <w:lang w:val="en-GB"/>
        </w:rPr>
        <w:t xml:space="preserve">in </w:t>
      </w:r>
      <w:r w:rsidRPr="00B85E4D">
        <w:rPr>
          <w:rFonts w:cs="Times New Roman"/>
          <w:sz w:val="24"/>
          <w:szCs w:val="24"/>
          <w:lang w:val="en-GB"/>
        </w:rPr>
        <w:t>each risk category for the following transactions:</w:t>
      </w:r>
    </w:p>
    <w:p w14:paraId="0B625198" w14:textId="7C2A30FB"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61.1. </w:t>
      </w:r>
      <w:r w:rsidR="00CF2AFF" w:rsidRPr="00B85E4D">
        <w:rPr>
          <w:sz w:val="24"/>
          <w:szCs w:val="24"/>
          <w:lang w:val="en-GB"/>
        </w:rPr>
        <w:t xml:space="preserve">transactions for which the primary risk driver, or the most material risk driver in the given risk category for transactions referred to in </w:t>
      </w:r>
      <w:r w:rsidRPr="00B85E4D">
        <w:rPr>
          <w:rFonts w:cs="Times New Roman"/>
          <w:sz w:val="24"/>
          <w:szCs w:val="24"/>
          <w:lang w:val="en-GB"/>
        </w:rPr>
        <w:t xml:space="preserve">paragraph 57 </w:t>
      </w:r>
      <w:r w:rsidR="00CF2AFF" w:rsidRPr="00B85E4D">
        <w:rPr>
          <w:sz w:val="24"/>
          <w:szCs w:val="24"/>
          <w:lang w:val="en-GB"/>
        </w:rPr>
        <w:t xml:space="preserve">is either the market implied volatility or the realised volatility of a risk driver or the correlation between two risk </w:t>
      </w:r>
      <w:proofErr w:type="gramStart"/>
      <w:r w:rsidR="00CF2AFF" w:rsidRPr="00B85E4D">
        <w:rPr>
          <w:sz w:val="24"/>
          <w:szCs w:val="24"/>
          <w:lang w:val="en-GB"/>
        </w:rPr>
        <w:t>drivers</w:t>
      </w:r>
      <w:r w:rsidRPr="00B85E4D">
        <w:rPr>
          <w:rFonts w:cs="Times New Roman"/>
          <w:sz w:val="24"/>
          <w:szCs w:val="24"/>
          <w:lang w:val="en-GB"/>
        </w:rPr>
        <w:t>;</w:t>
      </w:r>
      <w:proofErr w:type="gramEnd"/>
    </w:p>
    <w:p w14:paraId="332AA68C" w14:textId="0E93B326" w:rsidR="005B5342" w:rsidRPr="00B85E4D" w:rsidRDefault="005B5342" w:rsidP="005B5342">
      <w:pPr>
        <w:spacing w:after="0"/>
        <w:ind w:firstLine="708"/>
        <w:jc w:val="both"/>
        <w:rPr>
          <w:rFonts w:cs="Times New Roman"/>
          <w:sz w:val="24"/>
          <w:szCs w:val="24"/>
          <w:lang w:val="en-GB"/>
        </w:rPr>
      </w:pPr>
      <w:r w:rsidRPr="00B85E4D">
        <w:rPr>
          <w:rFonts w:cs="Times New Roman"/>
          <w:sz w:val="24"/>
          <w:szCs w:val="24"/>
          <w:lang w:val="en-GB"/>
        </w:rPr>
        <w:t xml:space="preserve">61.2. </w:t>
      </w:r>
      <w:r w:rsidR="00CF2AFF" w:rsidRPr="00B85E4D">
        <w:rPr>
          <w:sz w:val="24"/>
          <w:szCs w:val="24"/>
          <w:lang w:val="en-GB"/>
        </w:rPr>
        <w:t xml:space="preserve">transactions for which the primary risk driver, or the most material risk driver in the given risk category for transactions referred to in </w:t>
      </w:r>
      <w:r w:rsidRPr="00B85E4D">
        <w:rPr>
          <w:rFonts w:cs="Times New Roman"/>
          <w:sz w:val="24"/>
          <w:szCs w:val="24"/>
          <w:lang w:val="en-GB"/>
        </w:rPr>
        <w:t xml:space="preserve">paragraph 57 </w:t>
      </w:r>
      <w:r w:rsidR="00CF2AFF" w:rsidRPr="00B85E4D">
        <w:rPr>
          <w:sz w:val="24"/>
          <w:szCs w:val="24"/>
          <w:lang w:val="en-GB"/>
        </w:rPr>
        <w:t>is the difference between two risk drivers mapped to the same risk category or transactions that consist of two payment legs denominated in the same currency and for which a risk driver from the same risk category of the primary risk driver is contained in the other payment leg than the one containing the primary risk driver.</w:t>
      </w:r>
    </w:p>
    <w:p w14:paraId="06442639" w14:textId="79E67BF6" w:rsidR="005B5342" w:rsidRPr="00B85E4D" w:rsidRDefault="00CF2AFF" w:rsidP="005B5342">
      <w:pPr>
        <w:spacing w:after="0"/>
        <w:ind w:firstLine="708"/>
        <w:jc w:val="both"/>
        <w:rPr>
          <w:rFonts w:cs="Times New Roman"/>
          <w:sz w:val="24"/>
          <w:szCs w:val="24"/>
          <w:lang w:val="en-GB"/>
        </w:rPr>
      </w:pPr>
      <w:r w:rsidRPr="00B85E4D">
        <w:rPr>
          <w:rFonts w:cs="Times New Roman"/>
          <w:b/>
          <w:bCs/>
          <w:sz w:val="24"/>
          <w:szCs w:val="24"/>
          <w:lang w:val="en-GB"/>
        </w:rPr>
        <w:t>62.</w:t>
      </w:r>
      <w:r w:rsidRPr="00B85E4D">
        <w:rPr>
          <w:rFonts w:cs="Times New Roman"/>
          <w:sz w:val="24"/>
          <w:szCs w:val="24"/>
          <w:lang w:val="en-GB"/>
        </w:rPr>
        <w:t xml:space="preserve"> </w:t>
      </w:r>
      <w:r w:rsidR="005B5342" w:rsidRPr="00B85E4D">
        <w:rPr>
          <w:rFonts w:cs="Times New Roman"/>
          <w:sz w:val="24"/>
          <w:szCs w:val="24"/>
          <w:lang w:val="en-GB"/>
        </w:rPr>
        <w:t xml:space="preserve">For the purposes of paragraph 61, subparagraph 61.1, banks shall </w:t>
      </w:r>
      <w:r w:rsidRPr="00B85E4D">
        <w:rPr>
          <w:sz w:val="24"/>
          <w:szCs w:val="24"/>
          <w:lang w:val="en-GB"/>
        </w:rPr>
        <w:t xml:space="preserve">assign transactions to the same hedging set of the relevant risk category only where their primary risk driver, or the most material risk driver in the given risk category for transactions referred to in </w:t>
      </w:r>
      <w:r w:rsidR="005B5342" w:rsidRPr="00B85E4D">
        <w:rPr>
          <w:rFonts w:cs="Times New Roman"/>
          <w:sz w:val="24"/>
          <w:szCs w:val="24"/>
          <w:lang w:val="en-GB"/>
        </w:rPr>
        <w:t>paragraph 57 is identical.</w:t>
      </w:r>
    </w:p>
    <w:p w14:paraId="306C6347" w14:textId="76A32F3F" w:rsidR="005B5342" w:rsidRPr="00B85E4D" w:rsidRDefault="00CF2AFF" w:rsidP="005B5342">
      <w:pPr>
        <w:spacing w:after="0"/>
        <w:ind w:firstLine="708"/>
        <w:jc w:val="both"/>
        <w:rPr>
          <w:rFonts w:cs="Times New Roman"/>
          <w:sz w:val="24"/>
          <w:szCs w:val="24"/>
          <w:lang w:val="en-GB"/>
        </w:rPr>
      </w:pPr>
      <w:r w:rsidRPr="00B85E4D">
        <w:rPr>
          <w:rFonts w:cs="Times New Roman"/>
          <w:b/>
          <w:bCs/>
          <w:sz w:val="24"/>
          <w:szCs w:val="24"/>
          <w:lang w:val="en-GB"/>
        </w:rPr>
        <w:t>63.</w:t>
      </w:r>
      <w:r w:rsidRPr="00B85E4D">
        <w:rPr>
          <w:rFonts w:cs="Times New Roman"/>
          <w:sz w:val="24"/>
          <w:szCs w:val="24"/>
          <w:lang w:val="en-GB"/>
        </w:rPr>
        <w:t xml:space="preserve"> </w:t>
      </w:r>
      <w:r w:rsidR="005B5342" w:rsidRPr="00B85E4D">
        <w:rPr>
          <w:rFonts w:cs="Times New Roman"/>
          <w:sz w:val="24"/>
          <w:szCs w:val="24"/>
          <w:lang w:val="en-GB"/>
        </w:rPr>
        <w:t xml:space="preserve">For the purposes of paragraph 61, subparagraph 61.2, banks shall </w:t>
      </w:r>
      <w:r w:rsidRPr="00B85E4D">
        <w:rPr>
          <w:rFonts w:cs="Times New Roman"/>
          <w:sz w:val="24"/>
          <w:szCs w:val="24"/>
          <w:lang w:val="en-GB"/>
        </w:rPr>
        <w:t>assign</w:t>
      </w:r>
      <w:r w:rsidR="005B5342" w:rsidRPr="00B85E4D">
        <w:rPr>
          <w:rFonts w:cs="Times New Roman"/>
          <w:sz w:val="24"/>
          <w:szCs w:val="24"/>
          <w:lang w:val="en-GB"/>
        </w:rPr>
        <w:t xml:space="preserve"> transactions to the same hedging set </w:t>
      </w:r>
      <w:r w:rsidRPr="00B85E4D">
        <w:rPr>
          <w:rFonts w:cs="Times New Roman"/>
          <w:sz w:val="24"/>
          <w:szCs w:val="24"/>
          <w:lang w:val="en-GB"/>
        </w:rPr>
        <w:t>of</w:t>
      </w:r>
      <w:r w:rsidR="005B5342" w:rsidRPr="00B85E4D">
        <w:rPr>
          <w:rFonts w:cs="Times New Roman"/>
          <w:sz w:val="24"/>
          <w:szCs w:val="24"/>
          <w:lang w:val="en-GB"/>
        </w:rPr>
        <w:t xml:space="preserve"> the relevant risk category only where the pair of risk drivers </w:t>
      </w:r>
      <w:r w:rsidRPr="00B85E4D">
        <w:rPr>
          <w:rFonts w:cs="Times New Roman"/>
          <w:sz w:val="24"/>
          <w:szCs w:val="24"/>
          <w:lang w:val="en-GB"/>
        </w:rPr>
        <w:t xml:space="preserve">in those transactions as </w:t>
      </w:r>
      <w:r w:rsidR="005B5342" w:rsidRPr="00B85E4D">
        <w:rPr>
          <w:rFonts w:cs="Times New Roman"/>
          <w:sz w:val="24"/>
          <w:szCs w:val="24"/>
          <w:lang w:val="en-GB"/>
        </w:rPr>
        <w:t xml:space="preserve">referred to in paragraph 61, subparagraph 61.2, is identical and there is a positive correlation between the two risk drivers in that pair. Otherwise, banks shall </w:t>
      </w:r>
      <w:r w:rsidRPr="00B85E4D">
        <w:rPr>
          <w:rFonts w:cs="Times New Roman"/>
          <w:sz w:val="24"/>
          <w:szCs w:val="24"/>
          <w:lang w:val="en-GB"/>
        </w:rPr>
        <w:t>assign</w:t>
      </w:r>
      <w:r w:rsidR="005B5342" w:rsidRPr="00B85E4D">
        <w:rPr>
          <w:rFonts w:cs="Times New Roman"/>
          <w:sz w:val="24"/>
          <w:szCs w:val="24"/>
          <w:lang w:val="en-GB"/>
        </w:rPr>
        <w:t xml:space="preserve"> the transactions referred to in paragraph 61, subparagraph 61.2, to one of the hedging sets established in accordance with paragraph 59, based solely on one of the two risk drivers referred to in paragraph 61, subparagraph 61.2.</w:t>
      </w:r>
    </w:p>
    <w:p w14:paraId="5752322D" w14:textId="63D9F80B" w:rsidR="005B5342" w:rsidRPr="00B85E4D" w:rsidRDefault="00CF2AFF" w:rsidP="005B5342">
      <w:pPr>
        <w:spacing w:after="0"/>
        <w:ind w:firstLine="708"/>
        <w:jc w:val="both"/>
        <w:rPr>
          <w:rFonts w:cs="Times New Roman"/>
          <w:sz w:val="24"/>
          <w:szCs w:val="24"/>
          <w:lang w:val="en-GB"/>
        </w:rPr>
      </w:pPr>
      <w:r w:rsidRPr="00B85E4D">
        <w:rPr>
          <w:rFonts w:cs="Times New Roman"/>
          <w:b/>
          <w:bCs/>
          <w:sz w:val="24"/>
          <w:szCs w:val="24"/>
          <w:lang w:val="en-GB"/>
        </w:rPr>
        <w:t>64.</w:t>
      </w:r>
      <w:r w:rsidRPr="00B85E4D">
        <w:rPr>
          <w:rFonts w:cs="Times New Roman"/>
          <w:sz w:val="24"/>
          <w:szCs w:val="24"/>
          <w:lang w:val="en-GB"/>
        </w:rPr>
        <w:t xml:space="preserve"> </w:t>
      </w:r>
      <w:r w:rsidR="005B5342" w:rsidRPr="00B85E4D">
        <w:rPr>
          <w:rFonts w:cs="Times New Roman"/>
          <w:sz w:val="24"/>
          <w:szCs w:val="24"/>
          <w:lang w:val="en-GB"/>
        </w:rPr>
        <w:t xml:space="preserve">For the purposes of paragraph 61, subparagraph 61.1, banks shall assign transactions to a </w:t>
      </w:r>
      <w:r w:rsidRPr="00B85E4D">
        <w:rPr>
          <w:rFonts w:cs="Times New Roman"/>
          <w:sz w:val="24"/>
          <w:szCs w:val="24"/>
          <w:lang w:val="en-GB"/>
        </w:rPr>
        <w:t>separate</w:t>
      </w:r>
      <w:r w:rsidR="005B5342" w:rsidRPr="00B85E4D">
        <w:rPr>
          <w:rFonts w:cs="Times New Roman"/>
          <w:sz w:val="24"/>
          <w:szCs w:val="24"/>
          <w:lang w:val="en-GB"/>
        </w:rPr>
        <w:t xml:space="preserve"> hedging set </w:t>
      </w:r>
      <w:r w:rsidRPr="00B85E4D">
        <w:rPr>
          <w:rFonts w:cs="Times New Roman"/>
          <w:sz w:val="24"/>
          <w:szCs w:val="24"/>
          <w:lang w:val="en-GB"/>
        </w:rPr>
        <w:t>of</w:t>
      </w:r>
      <w:r w:rsidR="005B5342" w:rsidRPr="00B85E4D">
        <w:rPr>
          <w:rFonts w:cs="Times New Roman"/>
          <w:sz w:val="24"/>
          <w:szCs w:val="24"/>
          <w:lang w:val="en-GB"/>
        </w:rPr>
        <w:t xml:space="preserve"> the relevant risk category, following the same hedging set</w:t>
      </w:r>
      <w:r w:rsidRPr="00B85E4D">
        <w:rPr>
          <w:rFonts w:cs="Times New Roman"/>
          <w:sz w:val="24"/>
          <w:szCs w:val="24"/>
          <w:lang w:val="en-GB"/>
        </w:rPr>
        <w:t xml:space="preserve"> </w:t>
      </w:r>
      <w:proofErr w:type="gramStart"/>
      <w:r w:rsidRPr="00B85E4D">
        <w:rPr>
          <w:rFonts w:cs="Times New Roman"/>
          <w:sz w:val="24"/>
          <w:szCs w:val="24"/>
          <w:lang w:val="en-GB"/>
        </w:rPr>
        <w:t xml:space="preserve">construction </w:t>
      </w:r>
      <w:r w:rsidR="005B5342" w:rsidRPr="00B85E4D">
        <w:rPr>
          <w:rFonts w:cs="Times New Roman"/>
          <w:sz w:val="24"/>
          <w:szCs w:val="24"/>
          <w:lang w:val="en-GB"/>
        </w:rPr>
        <w:t xml:space="preserve"> as</w:t>
      </w:r>
      <w:proofErr w:type="gramEnd"/>
      <w:r w:rsidR="005B5342" w:rsidRPr="00B85E4D">
        <w:rPr>
          <w:rFonts w:cs="Times New Roman"/>
          <w:sz w:val="24"/>
          <w:szCs w:val="24"/>
          <w:lang w:val="en-GB"/>
        </w:rPr>
        <w:t xml:space="preserve"> provided in paragraph 59.</w:t>
      </w:r>
    </w:p>
    <w:p w14:paraId="3742C029" w14:textId="2A8EAE38" w:rsidR="005B5342" w:rsidRPr="00B85E4D" w:rsidRDefault="00CF2AFF" w:rsidP="005B5342">
      <w:pPr>
        <w:spacing w:after="0"/>
        <w:ind w:firstLine="708"/>
        <w:jc w:val="both"/>
        <w:rPr>
          <w:rFonts w:cs="Times New Roman"/>
          <w:sz w:val="24"/>
          <w:szCs w:val="24"/>
          <w:lang w:val="en-GB"/>
        </w:rPr>
      </w:pPr>
      <w:r w:rsidRPr="00B85E4D">
        <w:rPr>
          <w:rFonts w:cs="Times New Roman"/>
          <w:b/>
          <w:bCs/>
          <w:sz w:val="24"/>
          <w:szCs w:val="24"/>
          <w:lang w:val="en-GB"/>
        </w:rPr>
        <w:t>65.</w:t>
      </w:r>
      <w:r w:rsidRPr="00B85E4D">
        <w:rPr>
          <w:rFonts w:cs="Times New Roman"/>
          <w:sz w:val="24"/>
          <w:szCs w:val="24"/>
          <w:lang w:val="en-GB"/>
        </w:rPr>
        <w:t xml:space="preserve"> </w:t>
      </w:r>
      <w:r w:rsidR="005B5342" w:rsidRPr="00B85E4D">
        <w:rPr>
          <w:rFonts w:cs="Times New Roman"/>
          <w:sz w:val="24"/>
          <w:szCs w:val="24"/>
          <w:lang w:val="en-GB"/>
        </w:rPr>
        <w:t>Banks shall provide, at the request of the National Bank of Moldova, information regarding the number of hedging sets established in accordance with paragraphs 61–64 for each risk category, together with the primary risk driver or the most material risk driver within a particular risk category for transactions referred to in paragraph 57, or the pair of risk drivers corresponding to each of those hedging sets, and the number of transactions included in each hedging set.</w:t>
      </w:r>
    </w:p>
    <w:p w14:paraId="410064BF" w14:textId="77777777" w:rsidR="00612D31" w:rsidRPr="00B85E4D" w:rsidRDefault="00612D31" w:rsidP="00612D31">
      <w:pPr>
        <w:spacing w:after="0"/>
        <w:jc w:val="both"/>
        <w:rPr>
          <w:rFonts w:cs="Times New Roman"/>
          <w:sz w:val="24"/>
          <w:szCs w:val="24"/>
          <w:lang w:val="en-GB"/>
        </w:rPr>
      </w:pPr>
    </w:p>
    <w:p w14:paraId="5A8281D9" w14:textId="5BBC4F60" w:rsidR="00612D31" w:rsidRPr="00B85E4D" w:rsidRDefault="00612D31" w:rsidP="00612D31">
      <w:pPr>
        <w:spacing w:after="0"/>
        <w:jc w:val="center"/>
        <w:rPr>
          <w:rFonts w:cs="Times New Roman"/>
          <w:i/>
          <w:iCs/>
          <w:sz w:val="24"/>
          <w:szCs w:val="24"/>
          <w:lang w:val="en-GB"/>
        </w:rPr>
      </w:pPr>
      <w:r w:rsidRPr="00B85E4D">
        <w:rPr>
          <w:rFonts w:cs="Times New Roman"/>
          <w:i/>
          <w:iCs/>
          <w:sz w:val="24"/>
          <w:szCs w:val="24"/>
          <w:lang w:val="en-GB"/>
        </w:rPr>
        <w:t>Section 6</w:t>
      </w:r>
    </w:p>
    <w:p w14:paraId="50ECF3E6" w14:textId="623E0524" w:rsidR="00612D31" w:rsidRPr="00B85E4D" w:rsidRDefault="00612D31" w:rsidP="00612D31">
      <w:pPr>
        <w:spacing w:after="0"/>
        <w:jc w:val="center"/>
        <w:rPr>
          <w:rFonts w:cs="Times New Roman"/>
          <w:b/>
          <w:bCs/>
          <w:sz w:val="24"/>
          <w:szCs w:val="24"/>
          <w:lang w:val="en-GB"/>
        </w:rPr>
      </w:pPr>
      <w:r w:rsidRPr="00B85E4D">
        <w:rPr>
          <w:rFonts w:cs="Times New Roman"/>
          <w:b/>
          <w:bCs/>
          <w:sz w:val="24"/>
          <w:szCs w:val="24"/>
          <w:lang w:val="en-GB"/>
        </w:rPr>
        <w:t>Potential future exposure and calculation of risk positions</w:t>
      </w:r>
    </w:p>
    <w:p w14:paraId="2D55AA9A" w14:textId="77777777" w:rsidR="00612D31" w:rsidRPr="00B85E4D" w:rsidRDefault="00612D31" w:rsidP="00612D31">
      <w:pPr>
        <w:spacing w:after="0"/>
        <w:jc w:val="both"/>
        <w:rPr>
          <w:rFonts w:cs="Times New Roman"/>
          <w:sz w:val="24"/>
          <w:szCs w:val="24"/>
          <w:lang w:val="en-GB"/>
        </w:rPr>
      </w:pPr>
    </w:p>
    <w:p w14:paraId="4A7EACF0" w14:textId="6CFFAD49" w:rsidR="00612D31" w:rsidRPr="00B85E4D" w:rsidRDefault="00612D31" w:rsidP="00612D31">
      <w:pPr>
        <w:spacing w:after="0"/>
        <w:ind w:firstLine="708"/>
        <w:jc w:val="both"/>
        <w:rPr>
          <w:rFonts w:cs="Times New Roman"/>
          <w:sz w:val="24"/>
          <w:szCs w:val="24"/>
          <w:lang w:val="en-GB"/>
        </w:rPr>
      </w:pPr>
      <w:r w:rsidRPr="00B85E4D">
        <w:rPr>
          <w:rFonts w:cs="Times New Roman"/>
          <w:b/>
          <w:bCs/>
          <w:sz w:val="24"/>
          <w:szCs w:val="24"/>
          <w:lang w:val="en-GB"/>
        </w:rPr>
        <w:t>66.</w:t>
      </w:r>
      <w:r w:rsidRPr="00B85E4D">
        <w:rPr>
          <w:rFonts w:cs="Times New Roman"/>
          <w:sz w:val="24"/>
          <w:szCs w:val="24"/>
          <w:lang w:val="en-GB"/>
        </w:rPr>
        <w:t xml:space="preserve"> Banks shall calculate the potential future exposure (PFE) of a netting set as follows:</w:t>
      </w:r>
    </w:p>
    <w:p w14:paraId="78BD489A" w14:textId="77777777" w:rsidR="00612D31" w:rsidRPr="00B85E4D" w:rsidRDefault="00612D31" w:rsidP="00612D31">
      <w:pPr>
        <w:spacing w:after="0"/>
        <w:jc w:val="both"/>
        <w:rPr>
          <w:rFonts w:cs="Times New Roman"/>
          <w:sz w:val="24"/>
          <w:szCs w:val="24"/>
          <w:lang w:val="en-GB"/>
        </w:rPr>
      </w:pPr>
    </w:p>
    <w:p w14:paraId="10973ED9" w14:textId="608E4AA1" w:rsidR="00612D31" w:rsidRPr="00B85E4D" w:rsidRDefault="00612D31" w:rsidP="00612D31">
      <w:pPr>
        <w:spacing w:after="0"/>
        <w:jc w:val="center"/>
        <w:rPr>
          <w:rFonts w:cs="Times New Roman"/>
          <w:sz w:val="24"/>
          <w:szCs w:val="24"/>
          <w:lang w:val="en-GB"/>
        </w:rPr>
      </w:pPr>
      <w:r w:rsidRPr="00B85E4D">
        <w:rPr>
          <w:rFonts w:cs="Times New Roman"/>
          <w:sz w:val="24"/>
          <w:szCs w:val="24"/>
          <w:lang w:val="en-GB"/>
        </w:rPr>
        <w:t xml:space="preserve">   </w:t>
      </w:r>
      <w:r w:rsidRPr="00B85E4D">
        <w:rPr>
          <w:rFonts w:eastAsia="Times New Roman" w:cs="Times New Roman"/>
          <w:noProof/>
          <w:sz w:val="24"/>
          <w:szCs w:val="24"/>
          <w:lang w:val="en-GB" w:eastAsia="ro-MD"/>
        </w:rPr>
        <w:drawing>
          <wp:inline distT="0" distB="0" distL="0" distR="0" wp14:anchorId="4DD1E924" wp14:editId="08E9DE14">
            <wp:extent cx="2857500" cy="5048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504825"/>
                    </a:xfrm>
                    <a:prstGeom prst="rect">
                      <a:avLst/>
                    </a:prstGeom>
                    <a:noFill/>
                    <a:ln>
                      <a:noFill/>
                    </a:ln>
                  </pic:spPr>
                </pic:pic>
              </a:graphicData>
            </a:graphic>
          </wp:inline>
        </w:drawing>
      </w:r>
    </w:p>
    <w:p w14:paraId="1552CAE6" w14:textId="77777777" w:rsidR="00612D31" w:rsidRPr="00B85E4D" w:rsidRDefault="00612D31" w:rsidP="00612D31">
      <w:pPr>
        <w:spacing w:after="0"/>
        <w:jc w:val="both"/>
        <w:rPr>
          <w:rFonts w:cs="Times New Roman"/>
          <w:sz w:val="24"/>
          <w:szCs w:val="24"/>
          <w:lang w:val="en-GB"/>
        </w:rPr>
      </w:pPr>
    </w:p>
    <w:p w14:paraId="243E98A5" w14:textId="77777777" w:rsidR="00612D31" w:rsidRPr="00B85E4D" w:rsidRDefault="00612D31" w:rsidP="00612D31">
      <w:pPr>
        <w:spacing w:after="0"/>
        <w:ind w:firstLine="708"/>
        <w:jc w:val="both"/>
        <w:rPr>
          <w:rFonts w:cs="Times New Roman"/>
          <w:sz w:val="24"/>
          <w:szCs w:val="24"/>
          <w:lang w:val="en-GB"/>
        </w:rPr>
      </w:pPr>
      <w:r w:rsidRPr="00B85E4D">
        <w:rPr>
          <w:rFonts w:cs="Times New Roman"/>
          <w:sz w:val="24"/>
          <w:szCs w:val="24"/>
          <w:lang w:val="en-GB"/>
        </w:rPr>
        <w:t>where:</w:t>
      </w:r>
    </w:p>
    <w:p w14:paraId="1072C989" w14:textId="706E47F0" w:rsidR="00612D31" w:rsidRPr="00B85E4D" w:rsidRDefault="00612D31" w:rsidP="00612D31">
      <w:pPr>
        <w:spacing w:after="0"/>
        <w:ind w:firstLine="708"/>
        <w:jc w:val="both"/>
        <w:rPr>
          <w:rFonts w:cs="Times New Roman"/>
          <w:sz w:val="24"/>
          <w:szCs w:val="24"/>
          <w:lang w:val="en-GB"/>
        </w:rPr>
      </w:pPr>
      <w:r w:rsidRPr="00B85E4D">
        <w:rPr>
          <w:rFonts w:cs="Times New Roman"/>
          <w:sz w:val="24"/>
          <w:szCs w:val="24"/>
          <w:lang w:val="en-GB"/>
        </w:rPr>
        <w:t xml:space="preserve">PFE = the potential future </w:t>
      </w:r>
      <w:proofErr w:type="gramStart"/>
      <w:r w:rsidRPr="00B85E4D">
        <w:rPr>
          <w:rFonts w:cs="Times New Roman"/>
          <w:sz w:val="24"/>
          <w:szCs w:val="24"/>
          <w:lang w:val="en-GB"/>
        </w:rPr>
        <w:t>exposure;</w:t>
      </w:r>
      <w:proofErr w:type="gramEnd"/>
    </w:p>
    <w:p w14:paraId="1EAA4D36" w14:textId="091DDDC0" w:rsidR="00612D31" w:rsidRPr="00B85E4D" w:rsidRDefault="00612D31" w:rsidP="00612D31">
      <w:pPr>
        <w:spacing w:after="0"/>
        <w:ind w:firstLine="708"/>
        <w:jc w:val="both"/>
        <w:rPr>
          <w:rFonts w:cs="Times New Roman"/>
          <w:sz w:val="24"/>
          <w:szCs w:val="24"/>
          <w:lang w:val="en-GB"/>
        </w:rPr>
      </w:pPr>
      <w:r w:rsidRPr="00B85E4D">
        <w:rPr>
          <w:rFonts w:cs="Times New Roman"/>
          <w:sz w:val="24"/>
          <w:szCs w:val="24"/>
          <w:lang w:val="en-GB"/>
        </w:rPr>
        <w:t xml:space="preserve">a = </w:t>
      </w:r>
      <w:r w:rsidRPr="00B85E4D">
        <w:rPr>
          <w:sz w:val="24"/>
          <w:szCs w:val="24"/>
          <w:lang w:val="en-GB"/>
        </w:rPr>
        <w:t xml:space="preserve">the index that denotes the risk categories included in the calculation of the potential future exposure of the netting </w:t>
      </w:r>
      <w:proofErr w:type="gramStart"/>
      <w:r w:rsidRPr="00B85E4D">
        <w:rPr>
          <w:sz w:val="24"/>
          <w:szCs w:val="24"/>
          <w:lang w:val="en-GB"/>
        </w:rPr>
        <w:t>set;</w:t>
      </w:r>
      <w:proofErr w:type="gramEnd"/>
    </w:p>
    <w:p w14:paraId="0660CC30" w14:textId="35421640" w:rsidR="00612D31" w:rsidRPr="00B85E4D" w:rsidRDefault="00612D31" w:rsidP="00612D31">
      <w:pPr>
        <w:spacing w:after="0"/>
        <w:ind w:firstLine="708"/>
        <w:jc w:val="both"/>
        <w:rPr>
          <w:rFonts w:cs="Times New Roman"/>
          <w:sz w:val="24"/>
          <w:szCs w:val="24"/>
          <w:lang w:val="en-GB"/>
        </w:rPr>
      </w:pPr>
      <w:proofErr w:type="spellStart"/>
      <w:r w:rsidRPr="00B85E4D">
        <w:rPr>
          <w:rFonts w:cs="Times New Roman"/>
          <w:sz w:val="24"/>
          <w:szCs w:val="24"/>
          <w:lang w:val="en-GB"/>
        </w:rPr>
        <w:t>AddOn</w:t>
      </w:r>
      <w:proofErr w:type="spellEnd"/>
      <w:r w:rsidRPr="00B85E4D">
        <w:rPr>
          <w:rFonts w:cs="Times New Roman"/>
          <w:sz w:val="24"/>
          <w:szCs w:val="24"/>
          <w:vertAlign w:val="superscript"/>
          <w:lang w:val="en-GB"/>
        </w:rPr>
        <w:t>(a)</w:t>
      </w:r>
      <w:r w:rsidRPr="00B85E4D">
        <w:rPr>
          <w:rFonts w:cs="Times New Roman"/>
          <w:sz w:val="24"/>
          <w:szCs w:val="24"/>
          <w:lang w:val="en-GB"/>
        </w:rPr>
        <w:t xml:space="preserve"> = the add-on for the risk category calculated in accordance with paragraphs 78–98, as applicable; and</w:t>
      </w:r>
    </w:p>
    <w:p w14:paraId="4A86106C" w14:textId="1A0BCAA9" w:rsidR="00612D31" w:rsidRPr="00B85E4D" w:rsidRDefault="00612D31" w:rsidP="00612D31">
      <w:pPr>
        <w:spacing w:after="0"/>
        <w:ind w:firstLine="708"/>
        <w:jc w:val="both"/>
        <w:rPr>
          <w:rFonts w:cs="Times New Roman"/>
          <w:sz w:val="24"/>
          <w:szCs w:val="24"/>
          <w:lang w:val="en-GB"/>
        </w:rPr>
      </w:pPr>
      <w:r w:rsidRPr="00B85E4D">
        <w:rPr>
          <w:rFonts w:cs="Times New Roman"/>
          <w:sz w:val="24"/>
          <w:szCs w:val="24"/>
          <w:lang w:val="en-GB"/>
        </w:rPr>
        <w:t>multiplier = the multiplication factor calculated in accordance with the formula set out in paragraph 68.</w:t>
      </w:r>
    </w:p>
    <w:p w14:paraId="333DA5F8" w14:textId="69A82A7E" w:rsidR="00612D31" w:rsidRPr="00B85E4D" w:rsidRDefault="00612D31" w:rsidP="00612D31">
      <w:pPr>
        <w:spacing w:after="0"/>
        <w:ind w:firstLine="708"/>
        <w:jc w:val="both"/>
        <w:rPr>
          <w:rFonts w:cs="Times New Roman"/>
          <w:sz w:val="24"/>
          <w:szCs w:val="24"/>
          <w:lang w:val="en-GB"/>
        </w:rPr>
      </w:pPr>
      <w:r w:rsidRPr="00B85E4D">
        <w:rPr>
          <w:rFonts w:cs="Times New Roman"/>
          <w:sz w:val="24"/>
          <w:szCs w:val="24"/>
          <w:lang w:val="en-GB"/>
        </w:rPr>
        <w:t xml:space="preserve">For the purposes of this calculation, banks </w:t>
      </w:r>
      <w:r w:rsidRPr="00B85E4D">
        <w:rPr>
          <w:sz w:val="24"/>
          <w:szCs w:val="24"/>
          <w:lang w:val="en-GB"/>
        </w:rPr>
        <w:t>shall include the add-on of a given risk category in the calculation of the potential future exposure of a netting set where at least one transaction of the netting set has been mapped to that risk category</w:t>
      </w:r>
      <w:r w:rsidRPr="00B85E4D">
        <w:rPr>
          <w:rFonts w:cs="Times New Roman"/>
          <w:sz w:val="24"/>
          <w:szCs w:val="24"/>
          <w:lang w:val="en-GB"/>
        </w:rPr>
        <w:t>.</w:t>
      </w:r>
    </w:p>
    <w:p w14:paraId="4067591F" w14:textId="600DB46E" w:rsidR="00612D31" w:rsidRPr="00B85E4D" w:rsidRDefault="00612D31" w:rsidP="00612D31">
      <w:pPr>
        <w:spacing w:after="0"/>
        <w:ind w:firstLine="708"/>
        <w:jc w:val="both"/>
        <w:rPr>
          <w:rFonts w:cs="Times New Roman"/>
          <w:sz w:val="24"/>
          <w:szCs w:val="24"/>
          <w:lang w:val="en-GB"/>
        </w:rPr>
      </w:pPr>
      <w:r w:rsidRPr="00B85E4D">
        <w:rPr>
          <w:rFonts w:cs="Times New Roman"/>
          <w:b/>
          <w:bCs/>
          <w:sz w:val="24"/>
          <w:szCs w:val="24"/>
          <w:lang w:val="en-GB"/>
        </w:rPr>
        <w:t>6</w:t>
      </w:r>
      <w:r w:rsidR="00B05F20" w:rsidRPr="00B85E4D">
        <w:rPr>
          <w:rFonts w:cs="Times New Roman"/>
          <w:b/>
          <w:bCs/>
          <w:sz w:val="24"/>
          <w:szCs w:val="24"/>
          <w:lang w:val="en-GB"/>
        </w:rPr>
        <w:t>7</w:t>
      </w:r>
      <w:r w:rsidRPr="00B85E4D">
        <w:rPr>
          <w:rFonts w:cs="Times New Roman"/>
          <w:b/>
          <w:bCs/>
          <w:sz w:val="24"/>
          <w:szCs w:val="24"/>
          <w:lang w:val="en-GB"/>
        </w:rPr>
        <w:t>.</w:t>
      </w:r>
      <w:r w:rsidRPr="00B85E4D">
        <w:rPr>
          <w:rFonts w:cs="Times New Roman"/>
          <w:sz w:val="24"/>
          <w:szCs w:val="24"/>
          <w:lang w:val="en-GB"/>
        </w:rPr>
        <w:t xml:space="preserve"> The potential future exposure of multiple netting sets that are subject to a single margin agreement, as referred to in paragraph 51, </w:t>
      </w:r>
      <w:r w:rsidRPr="00B85E4D">
        <w:rPr>
          <w:sz w:val="24"/>
          <w:szCs w:val="24"/>
          <w:lang w:val="en-GB"/>
        </w:rPr>
        <w:t>shall be calculated as the sum of the potential future exposures of all the individual netting sets as if they were not subject to any form of a margin agreement.</w:t>
      </w:r>
    </w:p>
    <w:p w14:paraId="4B009F12" w14:textId="24655BA8" w:rsidR="00612D31" w:rsidRPr="00B85E4D" w:rsidRDefault="00612D31" w:rsidP="00612D31">
      <w:pPr>
        <w:spacing w:after="0"/>
        <w:ind w:firstLine="708"/>
        <w:jc w:val="both"/>
        <w:rPr>
          <w:rFonts w:cs="Times New Roman"/>
          <w:sz w:val="24"/>
          <w:szCs w:val="24"/>
          <w:lang w:val="en-GB"/>
        </w:rPr>
      </w:pPr>
      <w:r w:rsidRPr="00B85E4D">
        <w:rPr>
          <w:rFonts w:cs="Times New Roman"/>
          <w:b/>
          <w:bCs/>
          <w:sz w:val="24"/>
          <w:szCs w:val="24"/>
          <w:lang w:val="en-GB"/>
        </w:rPr>
        <w:t>6</w:t>
      </w:r>
      <w:r w:rsidR="00B05F20" w:rsidRPr="00B85E4D">
        <w:rPr>
          <w:rFonts w:cs="Times New Roman"/>
          <w:b/>
          <w:bCs/>
          <w:sz w:val="24"/>
          <w:szCs w:val="24"/>
          <w:lang w:val="en-GB"/>
        </w:rPr>
        <w:t>8</w:t>
      </w:r>
      <w:r w:rsidRPr="00B85E4D">
        <w:rPr>
          <w:rFonts w:cs="Times New Roman"/>
          <w:b/>
          <w:bCs/>
          <w:sz w:val="24"/>
          <w:szCs w:val="24"/>
          <w:lang w:val="en-GB"/>
        </w:rPr>
        <w:t>.</w:t>
      </w:r>
      <w:r w:rsidRPr="00B85E4D">
        <w:rPr>
          <w:rFonts w:cs="Times New Roman"/>
          <w:sz w:val="24"/>
          <w:szCs w:val="24"/>
          <w:lang w:val="en-GB"/>
        </w:rPr>
        <w:t xml:space="preserve"> For the purposes of paragraph 66, the multiplier shall be calculated as follows:</w:t>
      </w:r>
    </w:p>
    <w:p w14:paraId="71E349AE" w14:textId="77777777" w:rsidR="00612D31" w:rsidRPr="00B85E4D" w:rsidRDefault="00612D31" w:rsidP="00612D31">
      <w:pPr>
        <w:spacing w:after="0"/>
        <w:jc w:val="both"/>
        <w:rPr>
          <w:rFonts w:cs="Times New Roman"/>
          <w:sz w:val="24"/>
          <w:szCs w:val="24"/>
          <w:lang w:val="en-GB"/>
        </w:rPr>
      </w:pPr>
    </w:p>
    <w:p w14:paraId="378E97BD" w14:textId="59EEF89D"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  </w:t>
      </w:r>
      <w:r w:rsidRPr="00B85E4D">
        <w:rPr>
          <w:rFonts w:eastAsia="Times New Roman" w:cs="Times New Roman"/>
          <w:noProof/>
          <w:sz w:val="24"/>
          <w:szCs w:val="24"/>
          <w:lang w:val="en-GB" w:eastAsia="ro-MD"/>
        </w:rPr>
        <w:drawing>
          <wp:inline distT="0" distB="0" distL="0" distR="0" wp14:anchorId="3FC4756E" wp14:editId="6ED9C0FE">
            <wp:extent cx="5829300" cy="9525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952500"/>
                    </a:xfrm>
                    <a:prstGeom prst="rect">
                      <a:avLst/>
                    </a:prstGeom>
                    <a:noFill/>
                    <a:ln>
                      <a:noFill/>
                    </a:ln>
                  </pic:spPr>
                </pic:pic>
              </a:graphicData>
            </a:graphic>
          </wp:inline>
        </w:drawing>
      </w:r>
    </w:p>
    <w:p w14:paraId="74600D7E" w14:textId="77777777" w:rsidR="00612D31" w:rsidRPr="00B85E4D" w:rsidRDefault="00612D31" w:rsidP="00612D31">
      <w:pPr>
        <w:spacing w:after="0"/>
        <w:jc w:val="both"/>
        <w:rPr>
          <w:rFonts w:cs="Times New Roman"/>
          <w:sz w:val="24"/>
          <w:szCs w:val="24"/>
          <w:lang w:val="en-GB"/>
        </w:rPr>
      </w:pPr>
    </w:p>
    <w:p w14:paraId="23F280D4" w14:textId="77777777"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where:</w:t>
      </w:r>
    </w:p>
    <w:p w14:paraId="294507C7" w14:textId="050B74D2"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 xml:space="preserve"> floor </w:t>
      </w:r>
      <w:r w:rsidRPr="00B85E4D">
        <w:rPr>
          <w:rFonts w:cs="Times New Roman"/>
          <w:sz w:val="24"/>
          <w:szCs w:val="24"/>
          <w:vertAlign w:val="subscript"/>
          <w:lang w:val="en-GB"/>
        </w:rPr>
        <w:t>(m)</w:t>
      </w:r>
      <w:r w:rsidRPr="00B85E4D">
        <w:rPr>
          <w:rFonts w:cs="Times New Roman"/>
          <w:sz w:val="24"/>
          <w:szCs w:val="24"/>
          <w:lang w:val="en-GB"/>
        </w:rPr>
        <w:t xml:space="preserve"> = </w:t>
      </w:r>
      <w:proofErr w:type="gramStart"/>
      <w:r w:rsidRPr="00B85E4D">
        <w:rPr>
          <w:rFonts w:cs="Times New Roman"/>
          <w:sz w:val="24"/>
          <w:szCs w:val="24"/>
          <w:lang w:val="en-GB"/>
        </w:rPr>
        <w:t>5%;</w:t>
      </w:r>
      <w:proofErr w:type="gramEnd"/>
    </w:p>
    <w:p w14:paraId="58483110" w14:textId="620635E2"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 xml:space="preserve"> y = 2 × (1 – </w:t>
      </w:r>
      <w:proofErr w:type="spellStart"/>
      <w:r w:rsidRPr="00B85E4D">
        <w:rPr>
          <w:rFonts w:cs="Times New Roman"/>
          <w:sz w:val="24"/>
          <w:szCs w:val="24"/>
          <w:lang w:val="en-GB"/>
        </w:rPr>
        <w:t>Floor</w:t>
      </w:r>
      <w:r w:rsidRPr="00B85E4D">
        <w:rPr>
          <w:rFonts w:cs="Times New Roman"/>
          <w:sz w:val="24"/>
          <w:szCs w:val="24"/>
          <w:vertAlign w:val="subscript"/>
          <w:lang w:val="en-GB"/>
        </w:rPr>
        <w:t>m</w:t>
      </w:r>
      <w:proofErr w:type="spellEnd"/>
      <w:r w:rsidRPr="00B85E4D">
        <w:rPr>
          <w:rFonts w:cs="Times New Roman"/>
          <w:sz w:val="24"/>
          <w:szCs w:val="24"/>
          <w:lang w:val="en-GB"/>
        </w:rPr>
        <w:t xml:space="preserve">) × Σₐ </w:t>
      </w:r>
      <w:proofErr w:type="spellStart"/>
      <w:r w:rsidRPr="00B85E4D">
        <w:rPr>
          <w:rFonts w:cs="Times New Roman"/>
          <w:sz w:val="24"/>
          <w:szCs w:val="24"/>
          <w:lang w:val="en-GB"/>
        </w:rPr>
        <w:t>AddOn</w:t>
      </w:r>
      <w:proofErr w:type="spellEnd"/>
      <w:r w:rsidRPr="00B85E4D">
        <w:rPr>
          <w:rFonts w:cs="Times New Roman"/>
          <w:sz w:val="24"/>
          <w:szCs w:val="24"/>
          <w:vertAlign w:val="superscript"/>
          <w:lang w:val="en-GB"/>
        </w:rPr>
        <w:t>(a</w:t>
      </w:r>
      <w:proofErr w:type="gramStart"/>
      <w:r w:rsidRPr="00B85E4D">
        <w:rPr>
          <w:rFonts w:cs="Times New Roman"/>
          <w:sz w:val="24"/>
          <w:szCs w:val="24"/>
          <w:vertAlign w:val="superscript"/>
          <w:lang w:val="en-GB"/>
        </w:rPr>
        <w:t>)</w:t>
      </w:r>
      <w:r w:rsidRPr="00B85E4D">
        <w:rPr>
          <w:rFonts w:cs="Times New Roman"/>
          <w:sz w:val="24"/>
          <w:szCs w:val="24"/>
          <w:lang w:val="en-GB"/>
        </w:rPr>
        <w:t>;</w:t>
      </w:r>
      <w:proofErr w:type="gramEnd"/>
    </w:p>
    <w:p w14:paraId="5F526F6D" w14:textId="671F1D41"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 xml:space="preserve"> </w:t>
      </w:r>
      <w:r w:rsidRPr="00B85E4D">
        <w:rPr>
          <w:rFonts w:cs="Times New Roman"/>
          <w:noProof/>
          <w:sz w:val="24"/>
          <w:szCs w:val="24"/>
          <w:lang w:val="en-GB"/>
        </w:rPr>
        <w:drawing>
          <wp:inline distT="0" distB="0" distL="0" distR="0" wp14:anchorId="5B54E857" wp14:editId="7E0A70C5">
            <wp:extent cx="5939790" cy="513708"/>
            <wp:effectExtent l="0" t="0" r="0" b="1270"/>
            <wp:docPr id="119370069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0692" name=""/>
                    <pic:cNvPicPr/>
                  </pic:nvPicPr>
                  <pic:blipFill>
                    <a:blip r:embed="rId11"/>
                    <a:stretch>
                      <a:fillRect/>
                    </a:stretch>
                  </pic:blipFill>
                  <pic:spPr>
                    <a:xfrm>
                      <a:off x="0" y="0"/>
                      <a:ext cx="6020561" cy="520694"/>
                    </a:xfrm>
                    <a:prstGeom prst="rect">
                      <a:avLst/>
                    </a:prstGeom>
                  </pic:spPr>
                </pic:pic>
              </a:graphicData>
            </a:graphic>
          </wp:inline>
        </w:drawing>
      </w:r>
    </w:p>
    <w:p w14:paraId="78897ED6" w14:textId="219DEB0A"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 xml:space="preserve">NICAᵢ = </w:t>
      </w:r>
      <w:r w:rsidRPr="00B85E4D">
        <w:rPr>
          <w:sz w:val="24"/>
          <w:szCs w:val="24"/>
          <w:lang w:val="en-GB"/>
        </w:rPr>
        <w:t xml:space="preserve">the net independent collateral amount calculated only for transactions that are included in netting set </w:t>
      </w:r>
      <w:r w:rsidRPr="00B85E4D">
        <w:rPr>
          <w:rFonts w:cs="Times New Roman"/>
          <w:sz w:val="24"/>
          <w:szCs w:val="24"/>
          <w:lang w:val="en-GB"/>
        </w:rPr>
        <w:t xml:space="preserve">i. NICAᵢ </w:t>
      </w:r>
      <w:r w:rsidRPr="00B85E4D">
        <w:rPr>
          <w:sz w:val="24"/>
          <w:szCs w:val="24"/>
          <w:lang w:val="en-GB"/>
        </w:rPr>
        <w:t>shall be calculated at trade level or at netting set level depending on the margin agreement.</w:t>
      </w:r>
    </w:p>
    <w:p w14:paraId="5374CC35" w14:textId="0B3C9244" w:rsidR="00612D31" w:rsidRPr="00B85E4D" w:rsidRDefault="00B05F20" w:rsidP="00B05F20">
      <w:pPr>
        <w:spacing w:after="0"/>
        <w:ind w:firstLine="708"/>
        <w:jc w:val="both"/>
        <w:rPr>
          <w:rFonts w:cs="Times New Roman"/>
          <w:sz w:val="24"/>
          <w:szCs w:val="24"/>
          <w:lang w:val="en-GB"/>
        </w:rPr>
      </w:pPr>
      <w:r w:rsidRPr="00B85E4D">
        <w:rPr>
          <w:rFonts w:cs="Times New Roman"/>
          <w:b/>
          <w:bCs/>
          <w:sz w:val="24"/>
          <w:szCs w:val="24"/>
          <w:lang w:val="en-GB"/>
        </w:rPr>
        <w:t>69.</w:t>
      </w:r>
      <w:r w:rsidRPr="00B85E4D">
        <w:rPr>
          <w:rFonts w:cs="Times New Roman"/>
          <w:sz w:val="24"/>
          <w:szCs w:val="24"/>
          <w:lang w:val="en-GB"/>
        </w:rPr>
        <w:t xml:space="preserve"> </w:t>
      </w:r>
      <w:r w:rsidR="00612D31" w:rsidRPr="00B85E4D">
        <w:rPr>
          <w:rFonts w:cs="Times New Roman"/>
          <w:sz w:val="24"/>
          <w:szCs w:val="24"/>
          <w:lang w:val="en-GB"/>
        </w:rPr>
        <w:t>To calculate the risk category add-ons referred to in paragraphs 78–98, banks shall calculate the risk position of each transaction within a netting set as follows:</w:t>
      </w:r>
    </w:p>
    <w:p w14:paraId="42CAFDCC" w14:textId="77777777" w:rsidR="00612D31" w:rsidRPr="00B85E4D" w:rsidRDefault="00612D31" w:rsidP="00612D31">
      <w:pPr>
        <w:spacing w:after="0"/>
        <w:jc w:val="both"/>
        <w:rPr>
          <w:rFonts w:cs="Times New Roman"/>
          <w:sz w:val="24"/>
          <w:szCs w:val="24"/>
          <w:lang w:val="en-GB"/>
        </w:rPr>
      </w:pPr>
    </w:p>
    <w:p w14:paraId="00774E36" w14:textId="2FF51FF1"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  </w:t>
      </w:r>
      <w:r w:rsidR="00B05F20" w:rsidRPr="00B85E4D">
        <w:rPr>
          <w:rFonts w:cs="Times New Roman"/>
          <w:sz w:val="24"/>
          <w:szCs w:val="24"/>
          <w:lang w:val="en-GB"/>
        </w:rPr>
        <w:tab/>
      </w:r>
      <w:proofErr w:type="spellStart"/>
      <w:r w:rsidRPr="00B85E4D">
        <w:rPr>
          <w:rFonts w:cs="Times New Roman"/>
          <w:sz w:val="24"/>
          <w:szCs w:val="24"/>
          <w:lang w:val="en-GB"/>
        </w:rPr>
        <w:t>RiskPosition</w:t>
      </w:r>
      <w:proofErr w:type="spellEnd"/>
      <w:r w:rsidRPr="00B85E4D">
        <w:rPr>
          <w:rFonts w:cs="Times New Roman"/>
          <w:sz w:val="24"/>
          <w:szCs w:val="24"/>
          <w:lang w:val="en-GB"/>
        </w:rPr>
        <w:t xml:space="preserve"> = δ × </w:t>
      </w:r>
      <w:proofErr w:type="spellStart"/>
      <w:r w:rsidRPr="00B85E4D">
        <w:rPr>
          <w:rFonts w:cs="Times New Roman"/>
          <w:sz w:val="24"/>
          <w:szCs w:val="24"/>
          <w:lang w:val="en-GB"/>
        </w:rPr>
        <w:t>AdjNot</w:t>
      </w:r>
      <w:proofErr w:type="spellEnd"/>
      <w:r w:rsidRPr="00B85E4D">
        <w:rPr>
          <w:rFonts w:cs="Times New Roman"/>
          <w:sz w:val="24"/>
          <w:szCs w:val="24"/>
          <w:lang w:val="en-GB"/>
        </w:rPr>
        <w:t xml:space="preserve"> × MF</w:t>
      </w:r>
    </w:p>
    <w:p w14:paraId="7C000B96" w14:textId="77777777" w:rsidR="00612D31" w:rsidRPr="00B85E4D" w:rsidRDefault="00612D31" w:rsidP="00612D31">
      <w:pPr>
        <w:spacing w:after="0"/>
        <w:jc w:val="both"/>
        <w:rPr>
          <w:rFonts w:cs="Times New Roman"/>
          <w:sz w:val="24"/>
          <w:szCs w:val="24"/>
          <w:lang w:val="en-GB"/>
        </w:rPr>
      </w:pPr>
    </w:p>
    <w:p w14:paraId="28C96C83" w14:textId="77777777" w:rsidR="00612D31" w:rsidRPr="00B85E4D" w:rsidRDefault="00612D31" w:rsidP="00B05F20">
      <w:pPr>
        <w:spacing w:after="0"/>
        <w:ind w:left="708"/>
        <w:jc w:val="both"/>
        <w:rPr>
          <w:rFonts w:cs="Times New Roman"/>
          <w:sz w:val="24"/>
          <w:szCs w:val="24"/>
          <w:lang w:val="en-GB"/>
        </w:rPr>
      </w:pPr>
      <w:r w:rsidRPr="00B85E4D">
        <w:rPr>
          <w:rFonts w:cs="Times New Roman"/>
          <w:sz w:val="24"/>
          <w:szCs w:val="24"/>
          <w:lang w:val="en-GB"/>
        </w:rPr>
        <w:t>where:</w:t>
      </w:r>
    </w:p>
    <w:p w14:paraId="525495B6" w14:textId="1EDA3C41" w:rsidR="00612D31" w:rsidRPr="00B85E4D" w:rsidRDefault="00612D31" w:rsidP="00B05F20">
      <w:pPr>
        <w:spacing w:after="0"/>
        <w:ind w:left="708"/>
        <w:jc w:val="both"/>
        <w:rPr>
          <w:rFonts w:cs="Times New Roman"/>
          <w:sz w:val="24"/>
          <w:szCs w:val="24"/>
          <w:lang w:val="en-GB"/>
        </w:rPr>
      </w:pPr>
      <w:r w:rsidRPr="00B85E4D">
        <w:rPr>
          <w:rFonts w:cs="Times New Roman"/>
          <w:sz w:val="24"/>
          <w:szCs w:val="24"/>
          <w:lang w:val="en-GB"/>
        </w:rPr>
        <w:t xml:space="preserve">– δ = supervisory delta of the transaction calculated in accordance with the formula set out in paragraphs 70 and </w:t>
      </w:r>
      <w:proofErr w:type="gramStart"/>
      <w:r w:rsidRPr="00B85E4D">
        <w:rPr>
          <w:rFonts w:cs="Times New Roman"/>
          <w:sz w:val="24"/>
          <w:szCs w:val="24"/>
          <w:lang w:val="en-GB"/>
        </w:rPr>
        <w:t>71;</w:t>
      </w:r>
      <w:proofErr w:type="gramEnd"/>
    </w:p>
    <w:p w14:paraId="120042D5" w14:textId="77777777" w:rsidR="00612D31" w:rsidRPr="00B85E4D" w:rsidRDefault="00612D31" w:rsidP="00B05F20">
      <w:pPr>
        <w:spacing w:after="0"/>
        <w:ind w:left="708"/>
        <w:jc w:val="both"/>
        <w:rPr>
          <w:rFonts w:cs="Times New Roman"/>
          <w:sz w:val="24"/>
          <w:szCs w:val="24"/>
          <w:lang w:val="en-GB"/>
        </w:rPr>
      </w:pPr>
      <w:r w:rsidRPr="00B85E4D">
        <w:rPr>
          <w:rFonts w:cs="Times New Roman"/>
          <w:sz w:val="24"/>
          <w:szCs w:val="24"/>
          <w:lang w:val="en-GB"/>
        </w:rPr>
        <w:t xml:space="preserve">– </w:t>
      </w:r>
      <w:proofErr w:type="spellStart"/>
      <w:r w:rsidRPr="00B85E4D">
        <w:rPr>
          <w:rFonts w:cs="Times New Roman"/>
          <w:sz w:val="24"/>
          <w:szCs w:val="24"/>
          <w:lang w:val="en-GB"/>
        </w:rPr>
        <w:t>AdjNot</w:t>
      </w:r>
      <w:proofErr w:type="spellEnd"/>
      <w:r w:rsidRPr="00B85E4D">
        <w:rPr>
          <w:rFonts w:cs="Times New Roman"/>
          <w:sz w:val="24"/>
          <w:szCs w:val="24"/>
          <w:lang w:val="en-GB"/>
        </w:rPr>
        <w:t xml:space="preserve"> = adjusted notional amount of the transaction, calculated in accordance with paragraphs 72–74; and</w:t>
      </w:r>
    </w:p>
    <w:p w14:paraId="2F10A572" w14:textId="77777777" w:rsidR="00612D31" w:rsidRDefault="00612D31" w:rsidP="00B05F20">
      <w:pPr>
        <w:spacing w:after="0"/>
        <w:ind w:left="708"/>
        <w:jc w:val="both"/>
        <w:rPr>
          <w:rFonts w:cs="Times New Roman"/>
          <w:sz w:val="24"/>
          <w:szCs w:val="24"/>
          <w:lang w:val="en-GB"/>
        </w:rPr>
      </w:pPr>
      <w:r w:rsidRPr="00B85E4D">
        <w:rPr>
          <w:rFonts w:cs="Times New Roman"/>
          <w:sz w:val="24"/>
          <w:szCs w:val="24"/>
          <w:lang w:val="en-GB"/>
        </w:rPr>
        <w:lastRenderedPageBreak/>
        <w:t>– MF = maturity factor of the transaction, calculated in accordance with the formula set out in paragraphs 75–76.</w:t>
      </w:r>
    </w:p>
    <w:p w14:paraId="040B4658" w14:textId="77777777" w:rsidR="00BA5A41" w:rsidRPr="00B85E4D" w:rsidRDefault="00BA5A41" w:rsidP="00B05F20">
      <w:pPr>
        <w:spacing w:after="0"/>
        <w:ind w:left="708"/>
        <w:jc w:val="both"/>
        <w:rPr>
          <w:rFonts w:cs="Times New Roman"/>
          <w:sz w:val="24"/>
          <w:szCs w:val="24"/>
          <w:lang w:val="en-GB"/>
        </w:rPr>
      </w:pPr>
    </w:p>
    <w:p w14:paraId="2CA7C581" w14:textId="77777777" w:rsidR="00612D31" w:rsidRPr="00B85E4D" w:rsidRDefault="00612D31" w:rsidP="00612D31">
      <w:pPr>
        <w:spacing w:after="0"/>
        <w:jc w:val="both"/>
        <w:rPr>
          <w:rFonts w:cs="Times New Roman"/>
          <w:sz w:val="24"/>
          <w:szCs w:val="24"/>
          <w:lang w:val="en-GB"/>
        </w:rPr>
      </w:pPr>
    </w:p>
    <w:p w14:paraId="6016BC7F" w14:textId="634A2EE0" w:rsidR="00B05F20" w:rsidRPr="00B85E4D" w:rsidRDefault="00612D31" w:rsidP="00B05F20">
      <w:pPr>
        <w:spacing w:after="0"/>
        <w:jc w:val="center"/>
        <w:rPr>
          <w:rFonts w:cs="Times New Roman"/>
          <w:i/>
          <w:iCs/>
          <w:sz w:val="24"/>
          <w:szCs w:val="24"/>
          <w:lang w:val="en-GB"/>
        </w:rPr>
      </w:pPr>
      <w:r w:rsidRPr="00B85E4D">
        <w:rPr>
          <w:rFonts w:cs="Times New Roman"/>
          <w:i/>
          <w:iCs/>
          <w:sz w:val="24"/>
          <w:szCs w:val="24"/>
          <w:lang w:val="en-GB"/>
        </w:rPr>
        <w:t>Section 7</w:t>
      </w:r>
    </w:p>
    <w:p w14:paraId="3B50BD74" w14:textId="679BD3BC" w:rsidR="00612D31" w:rsidRPr="00B85E4D" w:rsidRDefault="00612D31" w:rsidP="00B05F20">
      <w:pPr>
        <w:spacing w:after="0"/>
        <w:jc w:val="center"/>
        <w:rPr>
          <w:rFonts w:cs="Times New Roman"/>
          <w:b/>
          <w:bCs/>
          <w:sz w:val="24"/>
          <w:szCs w:val="24"/>
          <w:lang w:val="en-GB"/>
        </w:rPr>
      </w:pPr>
      <w:r w:rsidRPr="00B85E4D">
        <w:rPr>
          <w:rFonts w:cs="Times New Roman"/>
          <w:b/>
          <w:bCs/>
          <w:sz w:val="24"/>
          <w:szCs w:val="24"/>
          <w:lang w:val="en-GB"/>
        </w:rPr>
        <w:t>Supervisory delta</w:t>
      </w:r>
    </w:p>
    <w:p w14:paraId="2380F1F2" w14:textId="77777777" w:rsidR="00612D31" w:rsidRPr="00B85E4D" w:rsidRDefault="00612D31" w:rsidP="00B05F20">
      <w:pPr>
        <w:spacing w:after="0"/>
        <w:jc w:val="center"/>
        <w:rPr>
          <w:rFonts w:cs="Times New Roman"/>
          <w:sz w:val="24"/>
          <w:szCs w:val="24"/>
          <w:lang w:val="en-GB"/>
        </w:rPr>
      </w:pPr>
    </w:p>
    <w:p w14:paraId="24CE8C7C" w14:textId="61834067" w:rsidR="00612D31" w:rsidRPr="00B85E4D" w:rsidRDefault="00B05F20" w:rsidP="00B05F20">
      <w:pPr>
        <w:spacing w:after="0"/>
        <w:ind w:firstLine="708"/>
        <w:jc w:val="both"/>
        <w:rPr>
          <w:rFonts w:cs="Times New Roman"/>
          <w:sz w:val="24"/>
          <w:szCs w:val="24"/>
          <w:lang w:val="en-GB"/>
        </w:rPr>
      </w:pPr>
      <w:r w:rsidRPr="00B85E4D">
        <w:rPr>
          <w:rFonts w:cs="Times New Roman"/>
          <w:b/>
          <w:bCs/>
          <w:sz w:val="24"/>
          <w:szCs w:val="24"/>
          <w:lang w:val="en-GB"/>
        </w:rPr>
        <w:t>70.</w:t>
      </w:r>
      <w:r w:rsidRPr="00B85E4D">
        <w:rPr>
          <w:rFonts w:cs="Times New Roman"/>
          <w:sz w:val="24"/>
          <w:szCs w:val="24"/>
          <w:lang w:val="en-GB"/>
        </w:rPr>
        <w:t xml:space="preserve"> </w:t>
      </w:r>
      <w:r w:rsidR="00612D31" w:rsidRPr="00B85E4D">
        <w:rPr>
          <w:rFonts w:cs="Times New Roman"/>
          <w:sz w:val="24"/>
          <w:szCs w:val="24"/>
          <w:lang w:val="en-GB"/>
        </w:rPr>
        <w:t>Banks shall calculate the supervisory delta (δ) as follows:</w:t>
      </w:r>
    </w:p>
    <w:p w14:paraId="22F03409" w14:textId="77777777" w:rsidR="00612D31" w:rsidRPr="00B85E4D" w:rsidRDefault="00612D31" w:rsidP="00612D31">
      <w:pPr>
        <w:spacing w:after="0"/>
        <w:jc w:val="both"/>
        <w:rPr>
          <w:rFonts w:cs="Times New Roman"/>
          <w:sz w:val="24"/>
          <w:szCs w:val="24"/>
          <w:lang w:val="en-GB"/>
        </w:rPr>
      </w:pPr>
    </w:p>
    <w:p w14:paraId="7408FF94" w14:textId="68B2F228" w:rsidR="00612D31" w:rsidRPr="00B85E4D" w:rsidRDefault="00612D31" w:rsidP="00B05F20">
      <w:pPr>
        <w:spacing w:after="0"/>
        <w:ind w:firstLine="708"/>
        <w:jc w:val="both"/>
        <w:rPr>
          <w:rFonts w:cs="Times New Roman"/>
          <w:sz w:val="24"/>
          <w:szCs w:val="24"/>
          <w:lang w:val="en-GB"/>
        </w:rPr>
      </w:pPr>
      <w:r w:rsidRPr="00B85E4D">
        <w:rPr>
          <w:rFonts w:cs="Times New Roman"/>
          <w:sz w:val="24"/>
          <w:szCs w:val="24"/>
          <w:lang w:val="en-GB"/>
        </w:rPr>
        <w:t xml:space="preserve">70.1. </w:t>
      </w:r>
      <w:r w:rsidR="00B05F20" w:rsidRPr="00B85E4D">
        <w:rPr>
          <w:sz w:val="24"/>
          <w:szCs w:val="24"/>
          <w:lang w:val="en-GB"/>
        </w:rPr>
        <w:t xml:space="preserve">For call and put options that entitle the option buyer to purchase or sell an underlying instrument at a positive price on a single or multiple dates in the future, except where those options are mapped to the interest rate risk or commodity risk category, </w:t>
      </w:r>
      <w:r w:rsidR="00865CE4" w:rsidRPr="00B85E4D">
        <w:rPr>
          <w:sz w:val="24"/>
          <w:szCs w:val="24"/>
          <w:lang w:val="en-GB"/>
        </w:rPr>
        <w:t>bank</w:t>
      </w:r>
      <w:r w:rsidR="00B05F20" w:rsidRPr="00B85E4D">
        <w:rPr>
          <w:sz w:val="24"/>
          <w:szCs w:val="24"/>
          <w:lang w:val="en-GB"/>
        </w:rPr>
        <w:t>s shall use the following formula</w:t>
      </w:r>
      <w:r w:rsidRPr="00B85E4D">
        <w:rPr>
          <w:rFonts w:cs="Times New Roman"/>
          <w:sz w:val="24"/>
          <w:szCs w:val="24"/>
          <w:lang w:val="en-GB"/>
        </w:rPr>
        <w:t>:</w:t>
      </w:r>
    </w:p>
    <w:p w14:paraId="1841C774" w14:textId="77777777" w:rsidR="00612D31" w:rsidRPr="00B85E4D" w:rsidRDefault="00612D31" w:rsidP="00612D31">
      <w:pPr>
        <w:spacing w:after="0"/>
        <w:jc w:val="both"/>
        <w:rPr>
          <w:rFonts w:cs="Times New Roman"/>
          <w:sz w:val="24"/>
          <w:szCs w:val="24"/>
          <w:lang w:val="en-GB"/>
        </w:rPr>
      </w:pPr>
    </w:p>
    <w:p w14:paraId="2E8D7C31" w14:textId="10776AC6" w:rsidR="00612D31" w:rsidRPr="00B85E4D" w:rsidRDefault="00612D31" w:rsidP="00612D31">
      <w:pPr>
        <w:spacing w:after="0"/>
        <w:jc w:val="center"/>
        <w:rPr>
          <w:rFonts w:cs="Times New Roman"/>
          <w:sz w:val="24"/>
          <w:szCs w:val="24"/>
          <w:lang w:val="en-GB"/>
        </w:rPr>
      </w:pPr>
      <w:r w:rsidRPr="00B85E4D">
        <w:rPr>
          <w:rFonts w:eastAsia="Times New Roman" w:cs="Times New Roman"/>
          <w:noProof/>
          <w:sz w:val="24"/>
          <w:szCs w:val="24"/>
          <w:lang w:val="en-GB" w:eastAsia="ro-MD"/>
        </w:rPr>
        <w:drawing>
          <wp:inline distT="0" distB="0" distL="0" distR="0" wp14:anchorId="48EB99AF" wp14:editId="3A8B6390">
            <wp:extent cx="4143375" cy="436651"/>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9646" cy="439420"/>
                    </a:xfrm>
                    <a:prstGeom prst="rect">
                      <a:avLst/>
                    </a:prstGeom>
                    <a:noFill/>
                    <a:ln>
                      <a:noFill/>
                    </a:ln>
                  </pic:spPr>
                </pic:pic>
              </a:graphicData>
            </a:graphic>
          </wp:inline>
        </w:drawing>
      </w:r>
    </w:p>
    <w:p w14:paraId="04E22F7B" w14:textId="77777777" w:rsidR="00612D31" w:rsidRPr="00B85E4D" w:rsidRDefault="00612D31" w:rsidP="00612D31">
      <w:pPr>
        <w:spacing w:after="0"/>
        <w:jc w:val="both"/>
        <w:rPr>
          <w:rFonts w:cs="Times New Roman"/>
          <w:sz w:val="24"/>
          <w:szCs w:val="24"/>
          <w:lang w:val="en-GB"/>
        </w:rPr>
      </w:pPr>
    </w:p>
    <w:p w14:paraId="744446B1" w14:textId="77777777" w:rsidR="00612D31" w:rsidRPr="00B85E4D" w:rsidRDefault="00612D31" w:rsidP="00B05F20">
      <w:pPr>
        <w:spacing w:after="0"/>
        <w:ind w:firstLine="708"/>
        <w:jc w:val="both"/>
        <w:rPr>
          <w:rFonts w:cs="Times New Roman"/>
          <w:sz w:val="24"/>
          <w:szCs w:val="24"/>
          <w:lang w:val="en-GB"/>
        </w:rPr>
      </w:pPr>
      <w:r w:rsidRPr="00B85E4D">
        <w:rPr>
          <w:rFonts w:cs="Times New Roman"/>
          <w:sz w:val="24"/>
          <w:szCs w:val="24"/>
          <w:lang w:val="en-GB"/>
        </w:rPr>
        <w:t>where:</w:t>
      </w:r>
    </w:p>
    <w:p w14:paraId="57347850" w14:textId="171CF450" w:rsidR="00B05F20" w:rsidRPr="00B85E4D" w:rsidRDefault="00B05F20" w:rsidP="00B05F20">
      <w:pPr>
        <w:spacing w:after="0"/>
        <w:ind w:firstLine="708"/>
        <w:jc w:val="both"/>
        <w:rPr>
          <w:rFonts w:cs="Times New Roman"/>
          <w:sz w:val="24"/>
          <w:szCs w:val="24"/>
          <w:lang w:val="en-GB"/>
        </w:rPr>
      </w:pPr>
      <w:r w:rsidRPr="00B85E4D">
        <w:rPr>
          <w:rFonts w:cs="Times New Roman"/>
          <w:sz w:val="24"/>
          <w:szCs w:val="24"/>
          <w:lang w:val="en-GB"/>
        </w:rPr>
        <w:t>δ = the supervisory data</w:t>
      </w:r>
    </w:p>
    <w:p w14:paraId="7A58D94D" w14:textId="2E9A9B44" w:rsidR="00612D31" w:rsidRPr="00B85E4D" w:rsidRDefault="00B05F20" w:rsidP="00B05F20">
      <w:pPr>
        <w:spacing w:after="0"/>
        <w:ind w:firstLine="708"/>
        <w:jc w:val="both"/>
        <w:rPr>
          <w:rFonts w:cs="Times New Roman"/>
          <w:sz w:val="24"/>
          <w:szCs w:val="24"/>
          <w:lang w:val="en-GB"/>
        </w:rPr>
      </w:pPr>
      <w:r w:rsidRPr="00B85E4D">
        <w:rPr>
          <w:rFonts w:cs="Times New Roman"/>
          <w:sz w:val="24"/>
          <w:szCs w:val="24"/>
          <w:lang w:val="en-GB"/>
        </w:rPr>
        <w:t xml:space="preserve">sign </w:t>
      </w:r>
      <w:r w:rsidR="00612D31" w:rsidRPr="00B85E4D">
        <w:rPr>
          <w:rFonts w:cs="Times New Roman"/>
          <w:sz w:val="24"/>
          <w:szCs w:val="24"/>
          <w:lang w:val="en-GB"/>
        </w:rPr>
        <w:t xml:space="preserve">= −1 </w:t>
      </w:r>
      <w:r w:rsidRPr="00B85E4D">
        <w:rPr>
          <w:rFonts w:cs="Times New Roman"/>
          <w:sz w:val="24"/>
          <w:szCs w:val="24"/>
          <w:lang w:val="en-GB"/>
        </w:rPr>
        <w:t>where</w:t>
      </w:r>
      <w:r w:rsidR="00612D31" w:rsidRPr="00B85E4D">
        <w:rPr>
          <w:rFonts w:cs="Times New Roman"/>
          <w:sz w:val="24"/>
          <w:szCs w:val="24"/>
          <w:lang w:val="en-GB"/>
        </w:rPr>
        <w:t xml:space="preserve"> the transaction is a sold call option or a </w:t>
      </w:r>
      <w:r w:rsidRPr="00B85E4D">
        <w:rPr>
          <w:rFonts w:cs="Times New Roman"/>
          <w:sz w:val="24"/>
          <w:szCs w:val="24"/>
          <w:lang w:val="en-GB"/>
        </w:rPr>
        <w:t>bought</w:t>
      </w:r>
      <w:r w:rsidR="00612D31" w:rsidRPr="00B85E4D">
        <w:rPr>
          <w:rFonts w:cs="Times New Roman"/>
          <w:sz w:val="24"/>
          <w:szCs w:val="24"/>
          <w:lang w:val="en-GB"/>
        </w:rPr>
        <w:t xml:space="preserve"> put </w:t>
      </w:r>
      <w:proofErr w:type="gramStart"/>
      <w:r w:rsidR="00612D31" w:rsidRPr="00B85E4D">
        <w:rPr>
          <w:rFonts w:cs="Times New Roman"/>
          <w:sz w:val="24"/>
          <w:szCs w:val="24"/>
          <w:lang w:val="en-GB"/>
        </w:rPr>
        <w:t>option;</w:t>
      </w:r>
      <w:proofErr w:type="gramEnd"/>
    </w:p>
    <w:p w14:paraId="3D95597B" w14:textId="648B2617"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  </w:t>
      </w:r>
      <w:r w:rsidR="00B05F20" w:rsidRPr="00B85E4D">
        <w:rPr>
          <w:rFonts w:cs="Times New Roman"/>
          <w:sz w:val="24"/>
          <w:szCs w:val="24"/>
          <w:lang w:val="en-GB"/>
        </w:rPr>
        <w:tab/>
        <w:t xml:space="preserve">sign = </w:t>
      </w:r>
      <w:r w:rsidRPr="00B85E4D">
        <w:rPr>
          <w:rFonts w:cs="Times New Roman"/>
          <w:sz w:val="24"/>
          <w:szCs w:val="24"/>
          <w:lang w:val="en-GB"/>
        </w:rPr>
        <w:t xml:space="preserve">+1 </w:t>
      </w:r>
      <w:r w:rsidR="00B05F20" w:rsidRPr="00B85E4D">
        <w:rPr>
          <w:rFonts w:cs="Times New Roman"/>
          <w:sz w:val="24"/>
          <w:szCs w:val="24"/>
          <w:lang w:val="en-GB"/>
        </w:rPr>
        <w:t>where</w:t>
      </w:r>
      <w:r w:rsidRPr="00B85E4D">
        <w:rPr>
          <w:rFonts w:cs="Times New Roman"/>
          <w:sz w:val="24"/>
          <w:szCs w:val="24"/>
          <w:lang w:val="en-GB"/>
        </w:rPr>
        <w:t xml:space="preserve"> the transaction is a </w:t>
      </w:r>
      <w:r w:rsidR="00B05F20" w:rsidRPr="00B85E4D">
        <w:rPr>
          <w:rFonts w:cs="Times New Roman"/>
          <w:sz w:val="24"/>
          <w:szCs w:val="24"/>
          <w:lang w:val="en-GB"/>
        </w:rPr>
        <w:t>bought</w:t>
      </w:r>
      <w:r w:rsidRPr="00B85E4D">
        <w:rPr>
          <w:rFonts w:cs="Times New Roman"/>
          <w:sz w:val="24"/>
          <w:szCs w:val="24"/>
          <w:lang w:val="en-GB"/>
        </w:rPr>
        <w:t xml:space="preserve"> call option or a sold put </w:t>
      </w:r>
      <w:proofErr w:type="gramStart"/>
      <w:r w:rsidRPr="00B85E4D">
        <w:rPr>
          <w:rFonts w:cs="Times New Roman"/>
          <w:sz w:val="24"/>
          <w:szCs w:val="24"/>
          <w:lang w:val="en-GB"/>
        </w:rPr>
        <w:t>option;</w:t>
      </w:r>
      <w:proofErr w:type="gramEnd"/>
    </w:p>
    <w:p w14:paraId="25969CED" w14:textId="0C144573" w:rsidR="00612D31" w:rsidRPr="00B85E4D" w:rsidRDefault="00612D31" w:rsidP="00B05F20">
      <w:pPr>
        <w:spacing w:after="0"/>
        <w:ind w:firstLine="708"/>
        <w:jc w:val="both"/>
        <w:rPr>
          <w:rFonts w:cs="Times New Roman"/>
          <w:sz w:val="24"/>
          <w:szCs w:val="24"/>
          <w:lang w:val="en-GB"/>
        </w:rPr>
      </w:pPr>
      <w:r w:rsidRPr="00B85E4D">
        <w:rPr>
          <w:rFonts w:cs="Times New Roman"/>
          <w:sz w:val="24"/>
          <w:szCs w:val="24"/>
          <w:lang w:val="en-GB"/>
        </w:rPr>
        <w:t xml:space="preserve">type = −1 </w:t>
      </w:r>
      <w:r w:rsidR="00B05F20" w:rsidRPr="00B85E4D">
        <w:rPr>
          <w:rFonts w:cs="Times New Roman"/>
          <w:sz w:val="24"/>
          <w:szCs w:val="24"/>
          <w:lang w:val="en-GB"/>
        </w:rPr>
        <w:t xml:space="preserve">where the transaction is </w:t>
      </w:r>
      <w:r w:rsidRPr="00B85E4D">
        <w:rPr>
          <w:rFonts w:cs="Times New Roman"/>
          <w:sz w:val="24"/>
          <w:szCs w:val="24"/>
          <w:lang w:val="en-GB"/>
        </w:rPr>
        <w:t xml:space="preserve">a put </w:t>
      </w:r>
      <w:proofErr w:type="gramStart"/>
      <w:r w:rsidRPr="00B85E4D">
        <w:rPr>
          <w:rFonts w:cs="Times New Roman"/>
          <w:sz w:val="24"/>
          <w:szCs w:val="24"/>
          <w:lang w:val="en-GB"/>
        </w:rPr>
        <w:t>option;</w:t>
      </w:r>
      <w:proofErr w:type="gramEnd"/>
    </w:p>
    <w:p w14:paraId="1E0EF063" w14:textId="1216D090" w:rsidR="00612D31" w:rsidRPr="00B85E4D" w:rsidRDefault="00612D31" w:rsidP="00612D31">
      <w:pPr>
        <w:spacing w:after="0"/>
        <w:jc w:val="both"/>
        <w:rPr>
          <w:rFonts w:cs="Times New Roman"/>
          <w:sz w:val="24"/>
          <w:szCs w:val="24"/>
          <w:lang w:val="en-GB"/>
        </w:rPr>
      </w:pPr>
      <w:r w:rsidRPr="00B85E4D">
        <w:rPr>
          <w:rFonts w:cs="Times New Roman"/>
          <w:sz w:val="24"/>
          <w:szCs w:val="24"/>
          <w:lang w:val="en-GB"/>
        </w:rPr>
        <w:t>  </w:t>
      </w:r>
      <w:r w:rsidR="00B05F20" w:rsidRPr="00B85E4D">
        <w:rPr>
          <w:rFonts w:cs="Times New Roman"/>
          <w:sz w:val="24"/>
          <w:szCs w:val="24"/>
          <w:lang w:val="en-GB"/>
        </w:rPr>
        <w:tab/>
        <w:t xml:space="preserve">type = </w:t>
      </w:r>
      <w:r w:rsidRPr="00B85E4D">
        <w:rPr>
          <w:rFonts w:cs="Times New Roman"/>
          <w:sz w:val="24"/>
          <w:szCs w:val="24"/>
          <w:lang w:val="en-GB"/>
        </w:rPr>
        <w:t xml:space="preserve">+1 </w:t>
      </w:r>
      <w:r w:rsidR="00B05F20" w:rsidRPr="00B85E4D">
        <w:rPr>
          <w:rFonts w:cs="Times New Roman"/>
          <w:sz w:val="24"/>
          <w:szCs w:val="24"/>
          <w:lang w:val="en-GB"/>
        </w:rPr>
        <w:t xml:space="preserve">where the transaction is </w:t>
      </w:r>
      <w:r w:rsidRPr="00B85E4D">
        <w:rPr>
          <w:rFonts w:cs="Times New Roman"/>
          <w:sz w:val="24"/>
          <w:szCs w:val="24"/>
          <w:lang w:val="en-GB"/>
        </w:rPr>
        <w:t xml:space="preserve">a call </w:t>
      </w:r>
      <w:proofErr w:type="gramStart"/>
      <w:r w:rsidRPr="00B85E4D">
        <w:rPr>
          <w:rFonts w:cs="Times New Roman"/>
          <w:sz w:val="24"/>
          <w:szCs w:val="24"/>
          <w:lang w:val="en-GB"/>
        </w:rPr>
        <w:t>option;</w:t>
      </w:r>
      <w:proofErr w:type="gramEnd"/>
    </w:p>
    <w:p w14:paraId="3E28D9F6" w14:textId="783CE334" w:rsidR="00612D31" w:rsidRPr="00B85E4D" w:rsidRDefault="00612D31" w:rsidP="00B05F20">
      <w:pPr>
        <w:spacing w:after="0"/>
        <w:ind w:firstLine="708"/>
        <w:jc w:val="both"/>
        <w:rPr>
          <w:rFonts w:cs="Times New Roman"/>
          <w:sz w:val="24"/>
          <w:szCs w:val="24"/>
          <w:lang w:val="en-GB"/>
        </w:rPr>
      </w:pPr>
      <w:r w:rsidRPr="00B85E4D">
        <w:rPr>
          <w:rFonts w:cs="Times New Roman"/>
          <w:sz w:val="24"/>
          <w:szCs w:val="24"/>
          <w:lang w:val="en-GB"/>
        </w:rPr>
        <w:t xml:space="preserve">N(x) = </w:t>
      </w:r>
      <w:r w:rsidR="00B05F20" w:rsidRPr="00B85E4D">
        <w:rPr>
          <w:sz w:val="24"/>
          <w:szCs w:val="24"/>
          <w:lang w:val="en-GB"/>
        </w:rPr>
        <w:t xml:space="preserve">the cumulative distribution function for a standard normal random variable meaning the probability that a normal random variable with mean zero and variance of one is less than or equal to </w:t>
      </w:r>
      <w:proofErr w:type="gramStart"/>
      <w:r w:rsidR="00B05F20" w:rsidRPr="00B85E4D">
        <w:rPr>
          <w:sz w:val="24"/>
          <w:szCs w:val="24"/>
          <w:lang w:val="en-GB"/>
        </w:rPr>
        <w:t>x</w:t>
      </w:r>
      <w:r w:rsidRPr="00B85E4D">
        <w:rPr>
          <w:rFonts w:cs="Times New Roman"/>
          <w:sz w:val="24"/>
          <w:szCs w:val="24"/>
          <w:lang w:val="en-GB"/>
        </w:rPr>
        <w:t>;</w:t>
      </w:r>
      <w:proofErr w:type="gramEnd"/>
    </w:p>
    <w:p w14:paraId="403E7D98" w14:textId="7E1C9D4E" w:rsidR="00612D31" w:rsidRPr="00B85E4D" w:rsidRDefault="00612D31" w:rsidP="00B05F20">
      <w:pPr>
        <w:spacing w:after="0"/>
        <w:ind w:firstLine="708"/>
        <w:jc w:val="both"/>
        <w:rPr>
          <w:rFonts w:cs="Times New Roman"/>
          <w:sz w:val="24"/>
          <w:szCs w:val="24"/>
          <w:lang w:val="en-GB"/>
        </w:rPr>
      </w:pPr>
      <w:r w:rsidRPr="00B85E4D">
        <w:rPr>
          <w:rFonts w:cs="Times New Roman"/>
          <w:sz w:val="24"/>
          <w:szCs w:val="24"/>
          <w:lang w:val="en-GB"/>
        </w:rPr>
        <w:t xml:space="preserve">P = </w:t>
      </w:r>
      <w:r w:rsidR="00B05F20" w:rsidRPr="00B85E4D">
        <w:rPr>
          <w:sz w:val="24"/>
          <w:szCs w:val="24"/>
          <w:lang w:val="en-GB"/>
        </w:rPr>
        <w:t xml:space="preserve">the spot or forward price of the underlying instrument of the option; for </w:t>
      </w:r>
      <w:proofErr w:type="gramStart"/>
      <w:r w:rsidR="00B05F20" w:rsidRPr="00B85E4D">
        <w:rPr>
          <w:sz w:val="24"/>
          <w:szCs w:val="24"/>
          <w:lang w:val="en-GB"/>
        </w:rPr>
        <w:t>options</w:t>
      </w:r>
      <w:proofErr w:type="gramEnd"/>
      <w:r w:rsidR="00B05F20" w:rsidRPr="00B85E4D">
        <w:rPr>
          <w:sz w:val="24"/>
          <w:szCs w:val="24"/>
          <w:lang w:val="en-GB"/>
        </w:rPr>
        <w:t xml:space="preserve"> the cash flows of which depend on an average value of the price of the underlying instrument, P shall be equal to the average value at the calculation date</w:t>
      </w:r>
      <w:r w:rsidRPr="00B85E4D">
        <w:rPr>
          <w:rFonts w:cs="Times New Roman"/>
          <w:sz w:val="24"/>
          <w:szCs w:val="24"/>
          <w:lang w:val="en-GB"/>
        </w:rPr>
        <w:t>;</w:t>
      </w:r>
    </w:p>
    <w:p w14:paraId="38651825" w14:textId="6F7E9A9B" w:rsidR="00612D31" w:rsidRPr="00B85E4D" w:rsidRDefault="00612D31" w:rsidP="00B05F20">
      <w:pPr>
        <w:spacing w:after="0"/>
        <w:ind w:firstLine="708"/>
        <w:jc w:val="both"/>
        <w:rPr>
          <w:rFonts w:cs="Times New Roman"/>
          <w:sz w:val="24"/>
          <w:szCs w:val="24"/>
          <w:lang w:val="en-GB"/>
        </w:rPr>
      </w:pPr>
      <w:r w:rsidRPr="00B85E4D">
        <w:rPr>
          <w:rFonts w:cs="Times New Roman"/>
          <w:sz w:val="24"/>
          <w:szCs w:val="24"/>
          <w:lang w:val="en-GB"/>
        </w:rPr>
        <w:t xml:space="preserve">K = </w:t>
      </w:r>
      <w:r w:rsidR="00B05F20" w:rsidRPr="00B85E4D">
        <w:rPr>
          <w:rFonts w:cs="Times New Roman"/>
          <w:sz w:val="24"/>
          <w:szCs w:val="24"/>
          <w:lang w:val="en-GB"/>
        </w:rPr>
        <w:t xml:space="preserve">the </w:t>
      </w:r>
      <w:r w:rsidRPr="00B85E4D">
        <w:rPr>
          <w:rFonts w:cs="Times New Roman"/>
          <w:sz w:val="24"/>
          <w:szCs w:val="24"/>
          <w:lang w:val="en-GB"/>
        </w:rPr>
        <w:t xml:space="preserve">strike price of the </w:t>
      </w:r>
      <w:proofErr w:type="gramStart"/>
      <w:r w:rsidRPr="00B85E4D">
        <w:rPr>
          <w:rFonts w:cs="Times New Roman"/>
          <w:sz w:val="24"/>
          <w:szCs w:val="24"/>
          <w:lang w:val="en-GB"/>
        </w:rPr>
        <w:t>option;</w:t>
      </w:r>
      <w:proofErr w:type="gramEnd"/>
    </w:p>
    <w:p w14:paraId="195C1ACF" w14:textId="152C5D80" w:rsidR="00612D31" w:rsidRPr="00B85E4D" w:rsidRDefault="00612D31" w:rsidP="00B05F20">
      <w:pPr>
        <w:spacing w:after="0"/>
        <w:ind w:firstLine="708"/>
        <w:jc w:val="both"/>
        <w:rPr>
          <w:rFonts w:cs="Times New Roman"/>
          <w:sz w:val="24"/>
          <w:szCs w:val="24"/>
          <w:lang w:val="en-GB"/>
        </w:rPr>
      </w:pPr>
      <w:r w:rsidRPr="00B85E4D">
        <w:rPr>
          <w:rFonts w:cs="Times New Roman"/>
          <w:sz w:val="24"/>
          <w:szCs w:val="24"/>
          <w:lang w:val="en-GB"/>
        </w:rPr>
        <w:t xml:space="preserve">T = </w:t>
      </w:r>
      <w:r w:rsidR="00B05F20" w:rsidRPr="00B85E4D">
        <w:rPr>
          <w:sz w:val="24"/>
          <w:szCs w:val="24"/>
          <w:lang w:val="en-GB"/>
        </w:rPr>
        <w:t>the period between the expiry date of the option (</w:t>
      </w:r>
      <w:proofErr w:type="spellStart"/>
      <w:r w:rsidR="00B05F20" w:rsidRPr="00B85E4D">
        <w:rPr>
          <w:sz w:val="24"/>
          <w:szCs w:val="24"/>
          <w:lang w:val="en-GB"/>
        </w:rPr>
        <w:t>T</w:t>
      </w:r>
      <w:r w:rsidR="00B05F20" w:rsidRPr="00B85E4D">
        <w:rPr>
          <w:sz w:val="24"/>
          <w:szCs w:val="24"/>
          <w:vertAlign w:val="subscript"/>
          <w:lang w:val="en-GB"/>
        </w:rPr>
        <w:t>exp</w:t>
      </w:r>
      <w:proofErr w:type="spellEnd"/>
      <w:r w:rsidR="00B05F20" w:rsidRPr="00B85E4D">
        <w:rPr>
          <w:sz w:val="24"/>
          <w:szCs w:val="24"/>
          <w:lang w:val="en-GB"/>
        </w:rPr>
        <w:t xml:space="preserve">) and the reporting date; for options which can be exercised at one future date only, </w:t>
      </w:r>
      <w:proofErr w:type="spellStart"/>
      <w:r w:rsidR="00B05F20" w:rsidRPr="00B85E4D">
        <w:rPr>
          <w:sz w:val="24"/>
          <w:szCs w:val="24"/>
          <w:lang w:val="en-GB"/>
        </w:rPr>
        <w:t>T</w:t>
      </w:r>
      <w:r w:rsidR="00B05F20" w:rsidRPr="00B85E4D">
        <w:rPr>
          <w:sz w:val="24"/>
          <w:szCs w:val="24"/>
          <w:vertAlign w:val="subscript"/>
          <w:lang w:val="en-GB"/>
        </w:rPr>
        <w:t>exp</w:t>
      </w:r>
      <w:proofErr w:type="spellEnd"/>
      <w:r w:rsidR="00B05F20" w:rsidRPr="00B85E4D">
        <w:rPr>
          <w:sz w:val="24"/>
          <w:szCs w:val="24"/>
          <w:lang w:val="en-GB"/>
        </w:rPr>
        <w:t xml:space="preserve"> is equal to that date; for options which can be exercised at multiple future dates, </w:t>
      </w:r>
      <w:proofErr w:type="spellStart"/>
      <w:r w:rsidR="00B05F20" w:rsidRPr="00B85E4D">
        <w:rPr>
          <w:sz w:val="24"/>
          <w:szCs w:val="24"/>
          <w:lang w:val="en-GB"/>
        </w:rPr>
        <w:t>T</w:t>
      </w:r>
      <w:r w:rsidR="00B05F20" w:rsidRPr="00B85E4D">
        <w:rPr>
          <w:sz w:val="24"/>
          <w:szCs w:val="24"/>
          <w:vertAlign w:val="subscript"/>
          <w:lang w:val="en-GB"/>
        </w:rPr>
        <w:t>exp</w:t>
      </w:r>
      <w:proofErr w:type="spellEnd"/>
      <w:r w:rsidR="00B05F20" w:rsidRPr="00B85E4D">
        <w:rPr>
          <w:sz w:val="24"/>
          <w:szCs w:val="24"/>
          <w:lang w:val="en-GB"/>
        </w:rPr>
        <w:t xml:space="preserve"> is equal to the latest of those dates; T shall be expressed in years using the relevant business day convention; </w:t>
      </w:r>
      <w:proofErr w:type="gramStart"/>
      <w:r w:rsidR="00B05F20" w:rsidRPr="00B85E4D">
        <w:rPr>
          <w:sz w:val="24"/>
          <w:szCs w:val="24"/>
          <w:lang w:val="en-GB"/>
        </w:rPr>
        <w:t>and</w:t>
      </w:r>
      <w:r w:rsidRPr="00B85E4D">
        <w:rPr>
          <w:rFonts w:cs="Times New Roman"/>
          <w:sz w:val="24"/>
          <w:szCs w:val="24"/>
          <w:lang w:val="en-GB"/>
        </w:rPr>
        <w:t>;</w:t>
      </w:r>
      <w:proofErr w:type="gramEnd"/>
    </w:p>
    <w:p w14:paraId="0EF46A9E" w14:textId="225851B7" w:rsidR="00612D31" w:rsidRPr="00B85E4D" w:rsidRDefault="00612D31" w:rsidP="00B05F20">
      <w:pPr>
        <w:spacing w:after="0"/>
        <w:ind w:firstLine="708"/>
        <w:jc w:val="both"/>
        <w:rPr>
          <w:rFonts w:cs="Times New Roman"/>
          <w:sz w:val="24"/>
          <w:szCs w:val="24"/>
          <w:lang w:val="en-GB"/>
        </w:rPr>
      </w:pPr>
      <w:r w:rsidRPr="00B85E4D">
        <w:rPr>
          <w:rFonts w:cs="Times New Roman"/>
          <w:sz w:val="24"/>
          <w:szCs w:val="24"/>
          <w:lang w:val="en-GB"/>
        </w:rPr>
        <w:t xml:space="preserve"> σ = </w:t>
      </w:r>
      <w:r w:rsidR="00B05F20" w:rsidRPr="00B85E4D">
        <w:rPr>
          <w:sz w:val="24"/>
          <w:szCs w:val="24"/>
          <w:lang w:val="en-GB"/>
        </w:rPr>
        <w:t xml:space="preserve">the supervisory volatility of the option determined in accordance with Table 1 </w:t>
      </w:r>
      <w:proofErr w:type="gramStart"/>
      <w:r w:rsidR="00B05F20" w:rsidRPr="00B85E4D">
        <w:rPr>
          <w:sz w:val="24"/>
          <w:szCs w:val="24"/>
          <w:lang w:val="en-GB"/>
        </w:rPr>
        <w:t>on the basis of</w:t>
      </w:r>
      <w:proofErr w:type="gramEnd"/>
      <w:r w:rsidR="00B05F20" w:rsidRPr="00B85E4D">
        <w:rPr>
          <w:sz w:val="24"/>
          <w:szCs w:val="24"/>
          <w:lang w:val="en-GB"/>
        </w:rPr>
        <w:t xml:space="preserve"> the risk category of the transaction and the nature of the underlying instrument of the option</w:t>
      </w:r>
      <w:r w:rsidRPr="00B85E4D">
        <w:rPr>
          <w:rFonts w:cs="Times New Roman"/>
          <w:sz w:val="24"/>
          <w:szCs w:val="24"/>
          <w:lang w:val="en-GB"/>
        </w:rPr>
        <w:t>.</w:t>
      </w:r>
    </w:p>
    <w:p w14:paraId="7254AA7D" w14:textId="77777777" w:rsidR="00B05F20" w:rsidRPr="00B85E4D" w:rsidRDefault="00B05F20" w:rsidP="00B05F20">
      <w:pPr>
        <w:spacing w:after="0"/>
        <w:ind w:firstLine="708"/>
        <w:jc w:val="both"/>
        <w:rPr>
          <w:rFonts w:cs="Times New Roman"/>
          <w:sz w:val="24"/>
          <w:szCs w:val="24"/>
          <w:lang w:val="en-GB"/>
        </w:rPr>
      </w:pPr>
    </w:p>
    <w:p w14:paraId="68F79304" w14:textId="5857604D" w:rsidR="00B05F20" w:rsidRPr="00B85E4D" w:rsidRDefault="00B05F20" w:rsidP="00B05F20">
      <w:pPr>
        <w:spacing w:after="0"/>
        <w:jc w:val="right"/>
        <w:rPr>
          <w:rFonts w:eastAsia="Times New Roman" w:cs="Times New Roman"/>
          <w:sz w:val="24"/>
          <w:szCs w:val="24"/>
          <w:lang w:val="en-GB" w:eastAsia="ro-MD"/>
        </w:rPr>
      </w:pPr>
      <w:r w:rsidRPr="00B85E4D">
        <w:rPr>
          <w:rFonts w:eastAsia="Times New Roman" w:cs="Times New Roman"/>
          <w:i/>
          <w:iCs/>
          <w:sz w:val="24"/>
          <w:szCs w:val="24"/>
          <w:lang w:val="en-GB" w:eastAsia="ro-MD"/>
        </w:rPr>
        <w:t>Table 1</w:t>
      </w:r>
    </w:p>
    <w:tbl>
      <w:tblPr>
        <w:tblW w:w="3500" w:type="pct"/>
        <w:jc w:val="center"/>
        <w:tblCellMar>
          <w:top w:w="15" w:type="dxa"/>
          <w:left w:w="15" w:type="dxa"/>
          <w:bottom w:w="15" w:type="dxa"/>
          <w:right w:w="15" w:type="dxa"/>
        </w:tblCellMar>
        <w:tblLook w:val="04A0" w:firstRow="1" w:lastRow="0" w:firstColumn="1" w:lastColumn="0" w:noHBand="0" w:noVBand="1"/>
      </w:tblPr>
      <w:tblGrid>
        <w:gridCol w:w="1586"/>
        <w:gridCol w:w="3028"/>
        <w:gridCol w:w="1923"/>
      </w:tblGrid>
      <w:tr w:rsidR="00CD2FE8" w:rsidRPr="00B85E4D" w14:paraId="0E8ACDAB" w14:textId="77777777" w:rsidTr="000E535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CFE89A" w14:textId="3EF38E60"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b/>
                <w:bCs/>
                <w:sz w:val="24"/>
                <w:szCs w:val="24"/>
                <w:lang w:val="en-GB" w:eastAsia="ro-MD"/>
              </w:rPr>
              <w:t>Risk category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1B4837" w14:textId="3CDB3598"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b/>
                <w:bCs/>
                <w:sz w:val="24"/>
                <w:szCs w:val="24"/>
                <w:lang w:val="en-GB" w:eastAsia="ro-MD"/>
              </w:rPr>
              <w:t xml:space="preserve">Underlying instrument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AE51F3" w14:textId="54E12542"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b/>
                <w:bCs/>
                <w:sz w:val="24"/>
                <w:szCs w:val="24"/>
                <w:lang w:val="en-GB" w:eastAsia="ro-MD"/>
              </w:rPr>
              <w:t>Supervisory volatility</w:t>
            </w:r>
          </w:p>
        </w:tc>
      </w:tr>
      <w:tr w:rsidR="00CD2FE8" w:rsidRPr="00B85E4D" w14:paraId="2CF84198" w14:textId="77777777" w:rsidTr="000E535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0CC4B" w14:textId="348CF975" w:rsidR="00B05F20" w:rsidRPr="00B85E4D" w:rsidRDefault="00B05F20" w:rsidP="00B05F20">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Foreign exchange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A5BC5" w14:textId="1C373EFB" w:rsidR="00B05F20" w:rsidRPr="00B85E4D" w:rsidRDefault="00B05F20" w:rsidP="00B05F20">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 xml:space="preserve">All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F7E97" w14:textId="77777777"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15 %</w:t>
            </w:r>
          </w:p>
        </w:tc>
      </w:tr>
      <w:tr w:rsidR="00CD2FE8" w:rsidRPr="00B85E4D" w14:paraId="27D2D673" w14:textId="77777777" w:rsidTr="000E535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93CC9" w14:textId="77777777" w:rsidR="00B05F20" w:rsidRPr="00B85E4D" w:rsidRDefault="00B05F20" w:rsidP="00B05F20">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DB952" w14:textId="65B54C7B" w:rsidR="00B05F20" w:rsidRPr="00B85E4D" w:rsidRDefault="00B05F20" w:rsidP="00B05F20">
            <w:pPr>
              <w:spacing w:after="0"/>
              <w:rPr>
                <w:rFonts w:eastAsia="Times New Roman" w:cs="Times New Roman"/>
                <w:sz w:val="24"/>
                <w:szCs w:val="24"/>
                <w:lang w:val="en-GB" w:eastAsia="ro-MD"/>
              </w:rPr>
            </w:pPr>
            <w:r w:rsidRPr="00B85E4D">
              <w:rPr>
                <w:sz w:val="24"/>
                <w:szCs w:val="24"/>
                <w:lang w:val="en-GB"/>
              </w:rPr>
              <w:t>Single-name instrument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5182" w14:textId="77777777"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100 %</w:t>
            </w:r>
          </w:p>
        </w:tc>
      </w:tr>
      <w:tr w:rsidR="00CD2FE8" w:rsidRPr="00B85E4D" w14:paraId="604ABA38" w14:textId="77777777" w:rsidTr="000E535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79B4BF" w14:textId="77777777" w:rsidR="00B05F20" w:rsidRPr="00B85E4D" w:rsidRDefault="00B05F20" w:rsidP="00B05F20">
            <w:pPr>
              <w:spacing w:after="0"/>
              <w:rPr>
                <w:rFonts w:eastAsia="Times New Roman" w:cs="Times New Roman"/>
                <w:sz w:val="24"/>
                <w:szCs w:val="24"/>
                <w:lang w:val="en-GB"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7DB59" w14:textId="3AD7C828" w:rsidR="00B05F20" w:rsidRPr="00B85E4D" w:rsidRDefault="00CD2FE8" w:rsidP="00B05F20">
            <w:pPr>
              <w:spacing w:after="0"/>
              <w:rPr>
                <w:rFonts w:eastAsia="Times New Roman" w:cs="Times New Roman"/>
                <w:sz w:val="24"/>
                <w:szCs w:val="24"/>
                <w:lang w:val="en-GB" w:eastAsia="ro-MD"/>
              </w:rPr>
            </w:pPr>
            <w:r w:rsidRPr="00B85E4D">
              <w:rPr>
                <w:sz w:val="24"/>
                <w:szCs w:val="24"/>
                <w:lang w:val="en-GB"/>
              </w:rPr>
              <w:t>Multiple-names instrument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6EEF9" w14:textId="77777777"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80 %</w:t>
            </w:r>
          </w:p>
        </w:tc>
      </w:tr>
      <w:tr w:rsidR="00CD2FE8" w:rsidRPr="00B85E4D" w14:paraId="0BEF26A0" w14:textId="77777777" w:rsidTr="000E535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6E89C" w14:textId="44977D16" w:rsidR="00CD2FE8" w:rsidRPr="00B85E4D" w:rsidRDefault="00CD2FE8" w:rsidP="00CD2FE8">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 xml:space="preserve">Equity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68296" w14:textId="5F3F5301" w:rsidR="00CD2FE8" w:rsidRPr="00B85E4D" w:rsidRDefault="00CD2FE8" w:rsidP="00CD2FE8">
            <w:pPr>
              <w:spacing w:after="0"/>
              <w:rPr>
                <w:rFonts w:eastAsia="Times New Roman" w:cs="Times New Roman"/>
                <w:sz w:val="24"/>
                <w:szCs w:val="24"/>
                <w:lang w:val="en-GB" w:eastAsia="ro-MD"/>
              </w:rPr>
            </w:pPr>
            <w:r w:rsidRPr="00B85E4D">
              <w:rPr>
                <w:sz w:val="24"/>
                <w:szCs w:val="24"/>
                <w:lang w:val="en-GB"/>
              </w:rPr>
              <w:t>Single-name instrument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C8D23" w14:textId="77777777" w:rsidR="00CD2FE8" w:rsidRPr="00B85E4D" w:rsidRDefault="00CD2FE8" w:rsidP="00CD2FE8">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120 %</w:t>
            </w:r>
          </w:p>
        </w:tc>
      </w:tr>
      <w:tr w:rsidR="00CD2FE8" w:rsidRPr="00B85E4D" w14:paraId="1B43F732" w14:textId="77777777" w:rsidTr="000E535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A9705C" w14:textId="77777777" w:rsidR="00CD2FE8" w:rsidRPr="00B85E4D" w:rsidRDefault="00CD2FE8" w:rsidP="00CD2FE8">
            <w:pPr>
              <w:spacing w:after="0"/>
              <w:rPr>
                <w:rFonts w:eastAsia="Times New Roman" w:cs="Times New Roman"/>
                <w:sz w:val="24"/>
                <w:szCs w:val="24"/>
                <w:lang w:val="en-GB"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86804" w14:textId="529EC9A2" w:rsidR="00CD2FE8" w:rsidRPr="00B85E4D" w:rsidRDefault="00CD2FE8" w:rsidP="00CD2FE8">
            <w:pPr>
              <w:spacing w:after="0"/>
              <w:rPr>
                <w:rFonts w:eastAsia="Times New Roman" w:cs="Times New Roman"/>
                <w:sz w:val="24"/>
                <w:szCs w:val="24"/>
                <w:lang w:val="en-GB" w:eastAsia="ro-MD"/>
              </w:rPr>
            </w:pPr>
            <w:r w:rsidRPr="00B85E4D">
              <w:rPr>
                <w:sz w:val="24"/>
                <w:szCs w:val="24"/>
                <w:lang w:val="en-GB"/>
              </w:rPr>
              <w:t>Multiple-names instrument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B3F31" w14:textId="77777777" w:rsidR="00CD2FE8" w:rsidRPr="00B85E4D" w:rsidRDefault="00CD2FE8" w:rsidP="00CD2FE8">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75 %</w:t>
            </w:r>
          </w:p>
        </w:tc>
      </w:tr>
      <w:tr w:rsidR="00CD2FE8" w:rsidRPr="00B85E4D" w14:paraId="60CC8492" w14:textId="77777777" w:rsidTr="000E535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EFC14" w14:textId="01D6AEA8" w:rsidR="00B05F20" w:rsidRPr="00B85E4D" w:rsidRDefault="00CD2FE8" w:rsidP="00B05F20">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 xml:space="preserve">Commodity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9469C" w14:textId="7D66E54A" w:rsidR="00B05F20" w:rsidRPr="00B85E4D" w:rsidRDefault="00CD2FE8" w:rsidP="00B05F20">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 xml:space="preserve">Electricity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6A31E" w14:textId="77777777"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150 %</w:t>
            </w:r>
          </w:p>
        </w:tc>
      </w:tr>
      <w:tr w:rsidR="00CD2FE8" w:rsidRPr="00B85E4D" w14:paraId="27AD5905" w14:textId="77777777" w:rsidTr="000E535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06CA9B" w14:textId="77777777" w:rsidR="00B05F20" w:rsidRPr="00B85E4D" w:rsidRDefault="00B05F20" w:rsidP="00B05F20">
            <w:pPr>
              <w:spacing w:after="0"/>
              <w:rPr>
                <w:rFonts w:eastAsia="Times New Roman" w:cs="Times New Roman"/>
                <w:sz w:val="24"/>
                <w:szCs w:val="24"/>
                <w:lang w:val="en-GB"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4F90" w14:textId="7DD008C9" w:rsidR="00B05F20" w:rsidRPr="00B85E4D" w:rsidRDefault="00CD2FE8" w:rsidP="00B05F20">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 xml:space="preserve">Other commodities (excluding electricity)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40414" w14:textId="77777777"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70 %</w:t>
            </w:r>
          </w:p>
        </w:tc>
      </w:tr>
      <w:tr w:rsidR="00CD2FE8" w:rsidRPr="00B85E4D" w14:paraId="1C3482E5" w14:textId="77777777" w:rsidTr="000E535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CE211" w14:textId="6731432A" w:rsidR="00B05F20" w:rsidRPr="00B85E4D" w:rsidRDefault="00CD2FE8" w:rsidP="00B05F20">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 xml:space="preserve">Others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98A6D" w14:textId="0774B869" w:rsidR="00B05F20" w:rsidRPr="00B85E4D" w:rsidRDefault="00CD2FE8" w:rsidP="00B05F20">
            <w:pPr>
              <w:spacing w:after="0"/>
              <w:rPr>
                <w:rFonts w:eastAsia="Times New Roman" w:cs="Times New Roman"/>
                <w:sz w:val="24"/>
                <w:szCs w:val="24"/>
                <w:lang w:val="en-GB" w:eastAsia="ro-MD"/>
              </w:rPr>
            </w:pPr>
            <w:r w:rsidRPr="00B85E4D">
              <w:rPr>
                <w:rFonts w:eastAsia="Times New Roman" w:cs="Times New Roman"/>
                <w:sz w:val="24"/>
                <w:szCs w:val="24"/>
                <w:lang w:val="en-GB" w:eastAsia="ro-MD"/>
              </w:rPr>
              <w:t xml:space="preserve">All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07926" w14:textId="77777777" w:rsidR="00B05F20" w:rsidRPr="00B85E4D" w:rsidRDefault="00B05F20" w:rsidP="00B05F20">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150 %</w:t>
            </w:r>
          </w:p>
        </w:tc>
      </w:tr>
    </w:tbl>
    <w:p w14:paraId="44918294" w14:textId="77777777" w:rsidR="00B05F20" w:rsidRPr="00B85E4D" w:rsidRDefault="00B05F20" w:rsidP="00CD2FE8">
      <w:pPr>
        <w:spacing w:after="0"/>
        <w:jc w:val="both"/>
        <w:rPr>
          <w:rFonts w:cs="Times New Roman"/>
          <w:sz w:val="24"/>
          <w:szCs w:val="24"/>
          <w:lang w:val="en-GB"/>
        </w:rPr>
      </w:pPr>
    </w:p>
    <w:p w14:paraId="31A3F77F" w14:textId="45DE0C45" w:rsidR="00CD2FE8" w:rsidRPr="00B85E4D" w:rsidRDefault="00CD2FE8" w:rsidP="00CD2FE8">
      <w:pPr>
        <w:spacing w:after="0"/>
        <w:ind w:firstLine="708"/>
        <w:jc w:val="both"/>
        <w:rPr>
          <w:rFonts w:cs="Times New Roman"/>
          <w:sz w:val="24"/>
          <w:szCs w:val="24"/>
          <w:lang w:val="en-GB"/>
        </w:rPr>
      </w:pPr>
      <w:r w:rsidRPr="00B85E4D">
        <w:rPr>
          <w:rFonts w:cs="Times New Roman"/>
          <w:b/>
          <w:bCs/>
          <w:sz w:val="24"/>
          <w:szCs w:val="24"/>
          <w:lang w:val="en-GB"/>
        </w:rPr>
        <w:t>70.</w:t>
      </w:r>
      <w:r w:rsidRPr="00B85E4D">
        <w:rPr>
          <w:rFonts w:cs="Times New Roman"/>
          <w:sz w:val="24"/>
          <w:szCs w:val="24"/>
          <w:lang w:val="en-GB"/>
        </w:rPr>
        <w:t xml:space="preserve"> Banks using the forward price of the underlying instrument of an option shall ensure that:</w:t>
      </w:r>
    </w:p>
    <w:p w14:paraId="7A5A8EA9" w14:textId="77777777" w:rsidR="00CD2FE8" w:rsidRPr="00B85E4D" w:rsidRDefault="00CD2FE8" w:rsidP="00CD2FE8">
      <w:pPr>
        <w:spacing w:after="0"/>
        <w:ind w:firstLine="708"/>
        <w:jc w:val="both"/>
        <w:rPr>
          <w:rFonts w:cs="Times New Roman"/>
          <w:sz w:val="24"/>
          <w:szCs w:val="24"/>
          <w:lang w:val="en-GB"/>
        </w:rPr>
      </w:pPr>
      <w:r w:rsidRPr="00B85E4D">
        <w:rPr>
          <w:rFonts w:cs="Times New Roman"/>
          <w:sz w:val="24"/>
          <w:szCs w:val="24"/>
          <w:lang w:val="en-GB"/>
        </w:rPr>
        <w:t xml:space="preserve">70.1.1. the forward price is consistent with the characteristics of the </w:t>
      </w:r>
      <w:proofErr w:type="gramStart"/>
      <w:r w:rsidRPr="00B85E4D">
        <w:rPr>
          <w:rFonts w:cs="Times New Roman"/>
          <w:sz w:val="24"/>
          <w:szCs w:val="24"/>
          <w:lang w:val="en-GB"/>
        </w:rPr>
        <w:t>option;</w:t>
      </w:r>
      <w:proofErr w:type="gramEnd"/>
    </w:p>
    <w:p w14:paraId="7F1FED31" w14:textId="77777777" w:rsidR="00CD2FE8" w:rsidRPr="00B85E4D" w:rsidRDefault="00CD2FE8" w:rsidP="00CD2FE8">
      <w:pPr>
        <w:spacing w:after="0"/>
        <w:ind w:left="708"/>
        <w:jc w:val="both"/>
        <w:rPr>
          <w:rFonts w:cs="Times New Roman"/>
          <w:sz w:val="24"/>
          <w:szCs w:val="24"/>
          <w:lang w:val="en-GB"/>
        </w:rPr>
      </w:pPr>
      <w:r w:rsidRPr="00B85E4D">
        <w:rPr>
          <w:rFonts w:cs="Times New Roman"/>
          <w:sz w:val="24"/>
          <w:szCs w:val="24"/>
          <w:lang w:val="en-GB"/>
        </w:rPr>
        <w:t>70.1.2. the forward price is calculated using an appropriate interest rate prevailing on the reporting date; and</w:t>
      </w:r>
    </w:p>
    <w:p w14:paraId="06DB5E20" w14:textId="77777777" w:rsidR="00CD2FE8" w:rsidRPr="00B85E4D" w:rsidRDefault="00CD2FE8" w:rsidP="00CD2FE8">
      <w:pPr>
        <w:spacing w:after="0"/>
        <w:ind w:left="708"/>
        <w:jc w:val="both"/>
        <w:rPr>
          <w:rFonts w:cs="Times New Roman"/>
          <w:sz w:val="24"/>
          <w:szCs w:val="24"/>
          <w:lang w:val="en-GB"/>
        </w:rPr>
      </w:pPr>
      <w:r w:rsidRPr="00B85E4D">
        <w:rPr>
          <w:rFonts w:cs="Times New Roman"/>
          <w:sz w:val="24"/>
          <w:szCs w:val="24"/>
          <w:lang w:val="en-GB"/>
        </w:rPr>
        <w:t>70.1.3. the forward price reflects the expected cash flows of the underlying instrument prior to the option’s expiry.</w:t>
      </w:r>
    </w:p>
    <w:p w14:paraId="28B6A5B4" w14:textId="77777777" w:rsidR="00CD2FE8" w:rsidRPr="00B85E4D" w:rsidRDefault="00CD2FE8" w:rsidP="00CD2FE8">
      <w:pPr>
        <w:spacing w:after="0"/>
        <w:ind w:left="708"/>
        <w:jc w:val="both"/>
        <w:rPr>
          <w:rFonts w:cs="Times New Roman"/>
          <w:sz w:val="24"/>
          <w:szCs w:val="24"/>
          <w:lang w:val="en-GB"/>
        </w:rPr>
      </w:pPr>
    </w:p>
    <w:p w14:paraId="01FFA716" w14:textId="6CC1E414" w:rsidR="00CD2FE8" w:rsidRPr="00B85E4D" w:rsidRDefault="00CD2FE8" w:rsidP="00CD2FE8">
      <w:pPr>
        <w:spacing w:after="0"/>
        <w:ind w:left="708"/>
        <w:jc w:val="both"/>
        <w:rPr>
          <w:rFonts w:cs="Times New Roman"/>
          <w:sz w:val="24"/>
          <w:szCs w:val="24"/>
          <w:lang w:val="en-GB"/>
        </w:rPr>
      </w:pPr>
      <w:r w:rsidRPr="00B85E4D">
        <w:rPr>
          <w:rFonts w:cs="Times New Roman"/>
          <w:sz w:val="24"/>
          <w:szCs w:val="24"/>
          <w:lang w:val="en-GB"/>
        </w:rPr>
        <w:t>70.2. For tranches of a synthetic securitisations and for nth-to-default credit derivatives, banks shall use the following formula:</w:t>
      </w:r>
    </w:p>
    <w:p w14:paraId="47B9AF6A" w14:textId="77777777" w:rsidR="00CD2FE8" w:rsidRPr="00B85E4D" w:rsidRDefault="00CD2FE8" w:rsidP="00CD2FE8">
      <w:pPr>
        <w:spacing w:after="0"/>
        <w:jc w:val="both"/>
        <w:rPr>
          <w:rFonts w:cs="Times New Roman"/>
          <w:sz w:val="24"/>
          <w:szCs w:val="24"/>
          <w:lang w:val="en-GB"/>
        </w:rPr>
      </w:pPr>
    </w:p>
    <w:p w14:paraId="130DFB48" w14:textId="68BC73C4" w:rsidR="00CD2FE8" w:rsidRPr="00B85E4D" w:rsidRDefault="00CD2FE8" w:rsidP="00CD2FE8">
      <w:pPr>
        <w:spacing w:after="0"/>
        <w:jc w:val="center"/>
        <w:rPr>
          <w:rFonts w:cs="Times New Roman"/>
          <w:sz w:val="24"/>
          <w:szCs w:val="24"/>
          <w:lang w:val="en-GB"/>
        </w:rPr>
      </w:pPr>
      <w:r w:rsidRPr="00B85E4D">
        <w:rPr>
          <w:rFonts w:eastAsia="Times New Roman" w:cs="Times New Roman"/>
          <w:noProof/>
          <w:sz w:val="24"/>
          <w:szCs w:val="24"/>
          <w:lang w:val="en-GB" w:eastAsia="ro-MD"/>
        </w:rPr>
        <w:drawing>
          <wp:inline distT="0" distB="0" distL="0" distR="0" wp14:anchorId="2BDAFA42" wp14:editId="0ABF8DF2">
            <wp:extent cx="3352800" cy="581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581025"/>
                    </a:xfrm>
                    <a:prstGeom prst="rect">
                      <a:avLst/>
                    </a:prstGeom>
                    <a:noFill/>
                    <a:ln>
                      <a:noFill/>
                    </a:ln>
                  </pic:spPr>
                </pic:pic>
              </a:graphicData>
            </a:graphic>
          </wp:inline>
        </w:drawing>
      </w:r>
    </w:p>
    <w:p w14:paraId="1A6DB567" w14:textId="77777777" w:rsidR="00CD2FE8" w:rsidRPr="00B85E4D" w:rsidRDefault="00CD2FE8" w:rsidP="00CD2FE8">
      <w:pPr>
        <w:spacing w:after="0"/>
        <w:jc w:val="both"/>
        <w:rPr>
          <w:rFonts w:cs="Times New Roman"/>
          <w:sz w:val="24"/>
          <w:szCs w:val="24"/>
          <w:lang w:val="en-GB"/>
        </w:rPr>
      </w:pPr>
    </w:p>
    <w:p w14:paraId="7DD4E564" w14:textId="77777777" w:rsidR="00CD2FE8" w:rsidRPr="00B85E4D" w:rsidRDefault="00CD2FE8" w:rsidP="00CD2FE8">
      <w:pPr>
        <w:spacing w:after="0"/>
        <w:ind w:left="708"/>
        <w:jc w:val="both"/>
        <w:rPr>
          <w:rFonts w:cs="Times New Roman"/>
          <w:sz w:val="24"/>
          <w:szCs w:val="24"/>
          <w:lang w:val="en-GB"/>
        </w:rPr>
      </w:pPr>
      <w:r w:rsidRPr="00B85E4D">
        <w:rPr>
          <w:rFonts w:cs="Times New Roman"/>
          <w:sz w:val="24"/>
          <w:szCs w:val="24"/>
          <w:lang w:val="en-GB"/>
        </w:rPr>
        <w:t>where:</w:t>
      </w:r>
    </w:p>
    <w:p w14:paraId="31E94F7A" w14:textId="7AE069B8" w:rsidR="00CD2FE8" w:rsidRPr="00B85E4D" w:rsidRDefault="00CD2FE8" w:rsidP="00CD2FE8">
      <w:pPr>
        <w:spacing w:after="0"/>
        <w:ind w:left="708"/>
        <w:jc w:val="both"/>
        <w:rPr>
          <w:rFonts w:cs="Times New Roman"/>
          <w:sz w:val="24"/>
          <w:szCs w:val="24"/>
          <w:lang w:val="en-GB"/>
        </w:rPr>
      </w:pPr>
      <w:r w:rsidRPr="00B85E4D">
        <w:rPr>
          <w:rFonts w:cs="Times New Roman"/>
          <w:sz w:val="24"/>
          <w:szCs w:val="24"/>
          <w:lang w:val="en-GB"/>
        </w:rPr>
        <w:t xml:space="preserve">   </w:t>
      </w:r>
      <w:r w:rsidRPr="00B85E4D">
        <w:rPr>
          <w:rFonts w:cs="Times New Roman"/>
          <w:noProof/>
          <w:sz w:val="24"/>
          <w:szCs w:val="24"/>
          <w:lang w:val="en-GB"/>
        </w:rPr>
        <w:drawing>
          <wp:inline distT="0" distB="0" distL="0" distR="0" wp14:anchorId="0E449F19" wp14:editId="364D1815">
            <wp:extent cx="5939790" cy="929811"/>
            <wp:effectExtent l="0" t="0" r="3810" b="3810"/>
            <wp:docPr id="14211386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38641" name=""/>
                    <pic:cNvPicPr/>
                  </pic:nvPicPr>
                  <pic:blipFill>
                    <a:blip r:embed="rId14"/>
                    <a:stretch>
                      <a:fillRect/>
                    </a:stretch>
                  </pic:blipFill>
                  <pic:spPr>
                    <a:xfrm>
                      <a:off x="0" y="0"/>
                      <a:ext cx="5964178" cy="933629"/>
                    </a:xfrm>
                    <a:prstGeom prst="rect">
                      <a:avLst/>
                    </a:prstGeom>
                  </pic:spPr>
                </pic:pic>
              </a:graphicData>
            </a:graphic>
          </wp:inline>
        </w:drawing>
      </w:r>
    </w:p>
    <w:p w14:paraId="6B711746" w14:textId="3E893CAB" w:rsidR="00CD2FE8" w:rsidRPr="00B85E4D" w:rsidRDefault="00CD2FE8" w:rsidP="00CD2FE8">
      <w:pPr>
        <w:spacing w:after="0"/>
        <w:ind w:left="708"/>
        <w:jc w:val="both"/>
        <w:rPr>
          <w:rFonts w:cs="Times New Roman"/>
          <w:sz w:val="24"/>
          <w:szCs w:val="24"/>
          <w:lang w:val="en-GB"/>
        </w:rPr>
      </w:pPr>
      <w:r w:rsidRPr="00B85E4D">
        <w:rPr>
          <w:rFonts w:cs="Times New Roman"/>
          <w:sz w:val="24"/>
          <w:szCs w:val="24"/>
          <w:lang w:val="en-GB"/>
        </w:rPr>
        <w:t>A = attachment point of the tranche; for an nth-to-default credit derivative transaction based on k reference entities, A = (n − 1)/k; and</w:t>
      </w:r>
    </w:p>
    <w:p w14:paraId="6C96D2A3" w14:textId="3971650E" w:rsidR="00CD2FE8" w:rsidRPr="00B85E4D" w:rsidRDefault="00CD2FE8" w:rsidP="00CD2FE8">
      <w:pPr>
        <w:spacing w:after="0"/>
        <w:ind w:left="708"/>
        <w:jc w:val="both"/>
        <w:rPr>
          <w:rFonts w:cs="Times New Roman"/>
          <w:sz w:val="24"/>
          <w:szCs w:val="24"/>
          <w:lang w:val="en-GB"/>
        </w:rPr>
      </w:pPr>
      <w:r w:rsidRPr="00B85E4D">
        <w:rPr>
          <w:rFonts w:cs="Times New Roman"/>
          <w:sz w:val="24"/>
          <w:szCs w:val="24"/>
          <w:lang w:val="en-GB"/>
        </w:rPr>
        <w:t xml:space="preserve"> D = detachment point of the tranche; for an nth-to-default credit derivative transaction based on k reference entities, D = n/k.</w:t>
      </w:r>
    </w:p>
    <w:p w14:paraId="711B9AF1" w14:textId="77777777" w:rsidR="00CD2FE8" w:rsidRPr="00B85E4D" w:rsidRDefault="00CD2FE8" w:rsidP="00CD2FE8">
      <w:pPr>
        <w:spacing w:after="0"/>
        <w:jc w:val="both"/>
        <w:rPr>
          <w:rFonts w:cs="Times New Roman"/>
          <w:sz w:val="24"/>
          <w:szCs w:val="24"/>
          <w:lang w:val="en-GB"/>
        </w:rPr>
      </w:pPr>
    </w:p>
    <w:p w14:paraId="4B1406C3" w14:textId="45EB0D6D" w:rsidR="00CD2FE8" w:rsidRPr="00B85E4D" w:rsidRDefault="00CD2FE8" w:rsidP="00CD2FE8">
      <w:pPr>
        <w:spacing w:after="0"/>
        <w:ind w:left="708"/>
        <w:jc w:val="both"/>
        <w:rPr>
          <w:rFonts w:cs="Times New Roman"/>
          <w:sz w:val="24"/>
          <w:szCs w:val="24"/>
          <w:lang w:val="en-GB"/>
        </w:rPr>
      </w:pPr>
      <w:r w:rsidRPr="00B85E4D">
        <w:rPr>
          <w:rFonts w:cs="Times New Roman"/>
          <w:sz w:val="24"/>
          <w:szCs w:val="24"/>
          <w:lang w:val="en-GB"/>
        </w:rPr>
        <w:t>70.3. For transactions not referred to in subparagraphs 70.1 or 70.2, banks shall use the following supervisory delta:</w:t>
      </w:r>
    </w:p>
    <w:p w14:paraId="5A544061" w14:textId="77777777" w:rsidR="00CD2FE8" w:rsidRPr="00B85E4D" w:rsidRDefault="00CD2FE8" w:rsidP="00CD2FE8">
      <w:pPr>
        <w:spacing w:after="0"/>
        <w:jc w:val="both"/>
        <w:rPr>
          <w:rFonts w:cs="Times New Roman"/>
          <w:sz w:val="24"/>
          <w:szCs w:val="24"/>
          <w:lang w:val="en-GB"/>
        </w:rPr>
      </w:pPr>
    </w:p>
    <w:p w14:paraId="59D65D49" w14:textId="3F6ECBC6" w:rsidR="00CD2FE8" w:rsidRPr="00B85E4D" w:rsidRDefault="00CD2FE8" w:rsidP="00CD2FE8">
      <w:pPr>
        <w:spacing w:after="0"/>
        <w:jc w:val="both"/>
        <w:rPr>
          <w:rFonts w:cs="Times New Roman"/>
          <w:sz w:val="24"/>
          <w:szCs w:val="24"/>
          <w:lang w:val="en-GB"/>
        </w:rPr>
      </w:pPr>
      <w:r w:rsidRPr="00B85E4D">
        <w:rPr>
          <w:rFonts w:cs="Times New Roman"/>
          <w:noProof/>
          <w:sz w:val="24"/>
          <w:szCs w:val="24"/>
          <w:lang w:val="en-GB"/>
        </w:rPr>
        <w:drawing>
          <wp:inline distT="0" distB="0" distL="0" distR="0" wp14:anchorId="188C4752" wp14:editId="75194F82">
            <wp:extent cx="5939790" cy="1160980"/>
            <wp:effectExtent l="0" t="0" r="3810" b="1270"/>
            <wp:docPr id="210936254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62548" name=""/>
                    <pic:cNvPicPr/>
                  </pic:nvPicPr>
                  <pic:blipFill>
                    <a:blip r:embed="rId15"/>
                    <a:stretch>
                      <a:fillRect/>
                    </a:stretch>
                  </pic:blipFill>
                  <pic:spPr>
                    <a:xfrm>
                      <a:off x="0" y="0"/>
                      <a:ext cx="5945419" cy="1162080"/>
                    </a:xfrm>
                    <a:prstGeom prst="rect">
                      <a:avLst/>
                    </a:prstGeom>
                  </pic:spPr>
                </pic:pic>
              </a:graphicData>
            </a:graphic>
          </wp:inline>
        </w:drawing>
      </w:r>
    </w:p>
    <w:p w14:paraId="2038C000" w14:textId="77A8A967" w:rsidR="00CD2FE8" w:rsidRPr="00B85E4D" w:rsidRDefault="00CD2FE8" w:rsidP="00635C93">
      <w:pPr>
        <w:spacing w:after="0"/>
        <w:ind w:firstLine="708"/>
        <w:jc w:val="both"/>
        <w:rPr>
          <w:rFonts w:cs="Times New Roman"/>
          <w:sz w:val="24"/>
          <w:szCs w:val="24"/>
          <w:lang w:val="en-GB"/>
        </w:rPr>
      </w:pPr>
      <w:r w:rsidRPr="00B85E4D">
        <w:rPr>
          <w:rFonts w:cs="Times New Roman"/>
          <w:b/>
          <w:bCs/>
          <w:sz w:val="24"/>
          <w:szCs w:val="24"/>
          <w:lang w:val="en-GB"/>
        </w:rPr>
        <w:t>71.</w:t>
      </w:r>
      <w:r w:rsidRPr="00B85E4D">
        <w:rPr>
          <w:rFonts w:cs="Times New Roman"/>
          <w:sz w:val="24"/>
          <w:szCs w:val="24"/>
          <w:lang w:val="en-GB"/>
        </w:rPr>
        <w:t xml:space="preserve"> </w:t>
      </w:r>
      <w:r w:rsidRPr="00B85E4D">
        <w:rPr>
          <w:sz w:val="24"/>
          <w:szCs w:val="24"/>
          <w:lang w:val="en-GB"/>
        </w:rPr>
        <w:t xml:space="preserve">For the purposes of this Section, a long position in the primary risk driver or in the most material risk driver in the given risk category for transactions referred to in </w:t>
      </w:r>
      <w:r w:rsidRPr="00B85E4D">
        <w:rPr>
          <w:rFonts w:cs="Times New Roman"/>
          <w:sz w:val="24"/>
          <w:szCs w:val="24"/>
          <w:lang w:val="en-GB"/>
        </w:rPr>
        <w:t xml:space="preserve">paragraph 57 </w:t>
      </w:r>
      <w:r w:rsidR="00635C93" w:rsidRPr="00B85E4D">
        <w:rPr>
          <w:rFonts w:cs="Times New Roman"/>
          <w:sz w:val="24"/>
          <w:szCs w:val="24"/>
          <w:lang w:val="en-GB"/>
        </w:rPr>
        <w:t xml:space="preserve">means that the market value of the transaction increases when the value of that risk driver increases and a short position in the primary risk driver or in the most material risk driver in the given risk category for transactions referred to in </w:t>
      </w:r>
      <w:r w:rsidRPr="00B85E4D">
        <w:rPr>
          <w:rFonts w:cs="Times New Roman"/>
          <w:sz w:val="24"/>
          <w:szCs w:val="24"/>
          <w:lang w:val="en-GB"/>
        </w:rPr>
        <w:t xml:space="preserve">paragraph 57 </w:t>
      </w:r>
      <w:r w:rsidR="00635C93" w:rsidRPr="00B85E4D">
        <w:rPr>
          <w:sz w:val="24"/>
          <w:szCs w:val="24"/>
          <w:lang w:val="en-GB"/>
        </w:rPr>
        <w:t>means that the market value of the transaction decreases when the value of that risk driver increases</w:t>
      </w:r>
      <w:r w:rsidRPr="00B85E4D">
        <w:rPr>
          <w:rFonts w:cs="Times New Roman"/>
          <w:sz w:val="24"/>
          <w:szCs w:val="24"/>
          <w:lang w:val="en-GB"/>
        </w:rPr>
        <w:t>.</w:t>
      </w:r>
    </w:p>
    <w:p w14:paraId="158B812E" w14:textId="77777777" w:rsidR="00684318" w:rsidRPr="00B85E4D" w:rsidRDefault="00684318" w:rsidP="00635C93">
      <w:pPr>
        <w:spacing w:after="0"/>
        <w:ind w:firstLine="708"/>
        <w:jc w:val="both"/>
        <w:rPr>
          <w:rFonts w:cs="Times New Roman"/>
          <w:sz w:val="24"/>
          <w:szCs w:val="24"/>
          <w:lang w:val="en-GB"/>
        </w:rPr>
      </w:pPr>
    </w:p>
    <w:p w14:paraId="0E52A1CD" w14:textId="1315E355" w:rsidR="00684318" w:rsidRPr="00B85E4D" w:rsidRDefault="00684318" w:rsidP="00684318">
      <w:pPr>
        <w:spacing w:after="0"/>
        <w:ind w:firstLine="708"/>
        <w:jc w:val="center"/>
        <w:rPr>
          <w:rFonts w:cs="Times New Roman"/>
          <w:i/>
          <w:iCs/>
          <w:sz w:val="24"/>
          <w:szCs w:val="24"/>
          <w:lang w:val="en-GB"/>
        </w:rPr>
      </w:pPr>
      <w:r w:rsidRPr="00B85E4D">
        <w:rPr>
          <w:rFonts w:cs="Times New Roman"/>
          <w:i/>
          <w:iCs/>
          <w:sz w:val="24"/>
          <w:szCs w:val="24"/>
          <w:lang w:val="en-GB"/>
        </w:rPr>
        <w:t>Section 8</w:t>
      </w:r>
    </w:p>
    <w:p w14:paraId="17326FA1" w14:textId="684DDE36" w:rsidR="00684318" w:rsidRPr="00B85E4D" w:rsidRDefault="00684318" w:rsidP="00684318">
      <w:pPr>
        <w:spacing w:after="0"/>
        <w:ind w:firstLine="708"/>
        <w:jc w:val="center"/>
        <w:rPr>
          <w:rFonts w:cs="Times New Roman"/>
          <w:b/>
          <w:bCs/>
          <w:sz w:val="24"/>
          <w:szCs w:val="24"/>
          <w:lang w:val="en-GB"/>
        </w:rPr>
      </w:pPr>
      <w:r w:rsidRPr="00B85E4D">
        <w:rPr>
          <w:rFonts w:cs="Times New Roman"/>
          <w:b/>
          <w:bCs/>
          <w:sz w:val="24"/>
          <w:szCs w:val="24"/>
          <w:lang w:val="en-GB"/>
        </w:rPr>
        <w:t xml:space="preserve">Adjusted notional </w:t>
      </w:r>
      <w:proofErr w:type="gramStart"/>
      <w:r w:rsidRPr="00B85E4D">
        <w:rPr>
          <w:rFonts w:cs="Times New Roman"/>
          <w:b/>
          <w:bCs/>
          <w:sz w:val="24"/>
          <w:szCs w:val="24"/>
          <w:lang w:val="en-GB"/>
        </w:rPr>
        <w:t>amount</w:t>
      </w:r>
      <w:proofErr w:type="gramEnd"/>
    </w:p>
    <w:p w14:paraId="04F129F7" w14:textId="77777777" w:rsidR="00684318" w:rsidRPr="00B85E4D" w:rsidRDefault="00684318" w:rsidP="00684318">
      <w:pPr>
        <w:spacing w:after="0"/>
        <w:ind w:firstLine="708"/>
        <w:jc w:val="both"/>
        <w:rPr>
          <w:rFonts w:cs="Times New Roman"/>
          <w:b/>
          <w:bCs/>
          <w:sz w:val="24"/>
          <w:szCs w:val="24"/>
          <w:lang w:val="en-GB"/>
        </w:rPr>
      </w:pPr>
    </w:p>
    <w:p w14:paraId="32E39E3B" w14:textId="74B22968" w:rsidR="00684318"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lastRenderedPageBreak/>
        <w:t>72. Banks shall calculate the adjusted notional amount as follows:</w:t>
      </w:r>
    </w:p>
    <w:p w14:paraId="613A0B6F" w14:textId="7DDB467C" w:rsidR="00684318"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t xml:space="preserve">72.1. For transactions </w:t>
      </w:r>
      <w:r w:rsidRPr="00B85E4D">
        <w:rPr>
          <w:sz w:val="24"/>
          <w:szCs w:val="24"/>
          <w:lang w:val="en-GB"/>
        </w:rPr>
        <w:t>mapped to the interest rate risk category or the credit risk category, banks shall calculate the adjusted notional amount as the product of the notional amount of the derivative contract and the supervisory duration factor established by the National Bank of Moldova, which shall be calculated as follows</w:t>
      </w:r>
      <w:r w:rsidRPr="00B85E4D">
        <w:rPr>
          <w:rFonts w:cs="Times New Roman"/>
          <w:sz w:val="24"/>
          <w:szCs w:val="24"/>
          <w:lang w:val="en-GB"/>
        </w:rPr>
        <w:t>:</w:t>
      </w:r>
    </w:p>
    <w:p w14:paraId="3EDBE3C6" w14:textId="5E15EC79" w:rsidR="00684318"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t xml:space="preserve"> </w:t>
      </w:r>
    </w:p>
    <w:p w14:paraId="14BDEA7D" w14:textId="417EF6C7" w:rsidR="00684318" w:rsidRPr="00B85E4D" w:rsidRDefault="00684318" w:rsidP="00684318">
      <w:pPr>
        <w:spacing w:after="0"/>
        <w:jc w:val="both"/>
        <w:rPr>
          <w:rFonts w:cs="Times New Roman"/>
          <w:sz w:val="24"/>
          <w:szCs w:val="24"/>
          <w:lang w:val="en-GB"/>
        </w:rPr>
      </w:pPr>
      <w:r w:rsidRPr="00B85E4D">
        <w:rPr>
          <w:rFonts w:cs="Times New Roman"/>
          <w:noProof/>
          <w:sz w:val="24"/>
          <w:szCs w:val="24"/>
          <w:lang w:val="en-GB"/>
        </w:rPr>
        <w:drawing>
          <wp:inline distT="0" distB="0" distL="0" distR="0" wp14:anchorId="3ECE0064" wp14:editId="01039E69">
            <wp:extent cx="5939790" cy="565150"/>
            <wp:effectExtent l="0" t="0" r="3810" b="6350"/>
            <wp:docPr id="198261325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13258" name=""/>
                    <pic:cNvPicPr/>
                  </pic:nvPicPr>
                  <pic:blipFill>
                    <a:blip r:embed="rId16"/>
                    <a:stretch>
                      <a:fillRect/>
                    </a:stretch>
                  </pic:blipFill>
                  <pic:spPr>
                    <a:xfrm>
                      <a:off x="0" y="0"/>
                      <a:ext cx="5939790" cy="565150"/>
                    </a:xfrm>
                    <a:prstGeom prst="rect">
                      <a:avLst/>
                    </a:prstGeom>
                  </pic:spPr>
                </pic:pic>
              </a:graphicData>
            </a:graphic>
          </wp:inline>
        </w:drawing>
      </w:r>
      <w:r w:rsidRPr="00B85E4D">
        <w:rPr>
          <w:rFonts w:cs="Times New Roman"/>
          <w:sz w:val="24"/>
          <w:szCs w:val="24"/>
          <w:lang w:val="en-GB"/>
        </w:rPr>
        <w:tab/>
        <w:t>​</w:t>
      </w:r>
    </w:p>
    <w:p w14:paraId="4EF5315F" w14:textId="77777777" w:rsidR="00684318" w:rsidRPr="00B85E4D" w:rsidRDefault="00684318" w:rsidP="00684318">
      <w:pPr>
        <w:spacing w:after="0"/>
        <w:ind w:firstLine="708"/>
        <w:jc w:val="both"/>
        <w:rPr>
          <w:sz w:val="24"/>
          <w:szCs w:val="24"/>
          <w:lang w:val="en-GB"/>
        </w:rPr>
      </w:pPr>
      <w:r w:rsidRPr="00B85E4D">
        <w:rPr>
          <w:sz w:val="24"/>
          <w:szCs w:val="24"/>
          <w:lang w:val="en-GB"/>
        </w:rPr>
        <w:t xml:space="preserve">where: </w:t>
      </w:r>
    </w:p>
    <w:p w14:paraId="0B92691F" w14:textId="77777777" w:rsidR="00684318" w:rsidRPr="00B85E4D" w:rsidRDefault="00684318" w:rsidP="00684318">
      <w:pPr>
        <w:spacing w:after="0"/>
        <w:ind w:firstLine="708"/>
        <w:jc w:val="both"/>
        <w:rPr>
          <w:sz w:val="24"/>
          <w:szCs w:val="24"/>
          <w:lang w:val="en-GB"/>
        </w:rPr>
      </w:pPr>
      <w:r w:rsidRPr="00B85E4D">
        <w:rPr>
          <w:sz w:val="24"/>
          <w:szCs w:val="24"/>
          <w:lang w:val="en-GB"/>
        </w:rPr>
        <w:t xml:space="preserve">R = the supervisory discount rate; R = </w:t>
      </w:r>
      <w:proofErr w:type="gramStart"/>
      <w:r w:rsidRPr="00B85E4D">
        <w:rPr>
          <w:sz w:val="24"/>
          <w:szCs w:val="24"/>
          <w:lang w:val="en-GB"/>
        </w:rPr>
        <w:t>5 %;</w:t>
      </w:r>
      <w:proofErr w:type="gramEnd"/>
      <w:r w:rsidRPr="00B85E4D">
        <w:rPr>
          <w:sz w:val="24"/>
          <w:szCs w:val="24"/>
          <w:lang w:val="en-GB"/>
        </w:rPr>
        <w:t xml:space="preserve"> </w:t>
      </w:r>
    </w:p>
    <w:p w14:paraId="0897E67B" w14:textId="77777777" w:rsidR="00684318" w:rsidRPr="00B85E4D" w:rsidRDefault="00684318" w:rsidP="00684318">
      <w:pPr>
        <w:spacing w:after="0"/>
        <w:ind w:firstLine="708"/>
        <w:jc w:val="both"/>
        <w:rPr>
          <w:sz w:val="24"/>
          <w:szCs w:val="24"/>
          <w:lang w:val="en-GB"/>
        </w:rPr>
      </w:pPr>
      <w:r w:rsidRPr="00B85E4D">
        <w:rPr>
          <w:sz w:val="24"/>
          <w:szCs w:val="24"/>
          <w:lang w:val="en-GB"/>
        </w:rPr>
        <w:t xml:space="preserve">S = the period between the start date of a transaction and the reporting date, which shall be expressed in years using the relevant business day </w:t>
      </w:r>
      <w:proofErr w:type="gramStart"/>
      <w:r w:rsidRPr="00B85E4D">
        <w:rPr>
          <w:sz w:val="24"/>
          <w:szCs w:val="24"/>
          <w:lang w:val="en-GB"/>
        </w:rPr>
        <w:t>convention;</w:t>
      </w:r>
      <w:proofErr w:type="gramEnd"/>
      <w:r w:rsidRPr="00B85E4D">
        <w:rPr>
          <w:sz w:val="24"/>
          <w:szCs w:val="24"/>
          <w:lang w:val="en-GB"/>
        </w:rPr>
        <w:t xml:space="preserve"> </w:t>
      </w:r>
    </w:p>
    <w:p w14:paraId="1431F30B" w14:textId="77777777" w:rsidR="00684318" w:rsidRPr="00B85E4D" w:rsidRDefault="00684318" w:rsidP="00684318">
      <w:pPr>
        <w:spacing w:after="0"/>
        <w:ind w:firstLine="708"/>
        <w:jc w:val="both"/>
        <w:rPr>
          <w:sz w:val="24"/>
          <w:szCs w:val="24"/>
          <w:lang w:val="en-GB"/>
        </w:rPr>
      </w:pPr>
      <w:r w:rsidRPr="00B85E4D">
        <w:rPr>
          <w:sz w:val="24"/>
          <w:szCs w:val="24"/>
          <w:lang w:val="en-GB"/>
        </w:rPr>
        <w:t xml:space="preserve">E = the period between the end date of a transaction and the reporting date, which shall be expressed in years using the relevant business day </w:t>
      </w:r>
      <w:proofErr w:type="gramStart"/>
      <w:r w:rsidRPr="00B85E4D">
        <w:rPr>
          <w:sz w:val="24"/>
          <w:szCs w:val="24"/>
          <w:lang w:val="en-GB"/>
        </w:rPr>
        <w:t>convention;</w:t>
      </w:r>
      <w:proofErr w:type="gramEnd"/>
      <w:r w:rsidRPr="00B85E4D">
        <w:rPr>
          <w:sz w:val="24"/>
          <w:szCs w:val="24"/>
          <w:lang w:val="en-GB"/>
        </w:rPr>
        <w:t xml:space="preserve"> </w:t>
      </w:r>
    </w:p>
    <w:p w14:paraId="3B84A7E4" w14:textId="77777777" w:rsidR="00684318" w:rsidRPr="00B85E4D" w:rsidRDefault="00684318" w:rsidP="00684318">
      <w:pPr>
        <w:spacing w:after="0"/>
        <w:ind w:firstLine="708"/>
        <w:jc w:val="both"/>
        <w:rPr>
          <w:sz w:val="24"/>
          <w:szCs w:val="24"/>
          <w:lang w:val="en-GB"/>
        </w:rPr>
      </w:pPr>
      <w:r w:rsidRPr="00B85E4D">
        <w:rPr>
          <w:sz w:val="24"/>
          <w:szCs w:val="24"/>
          <w:lang w:val="en-GB"/>
        </w:rPr>
        <w:t xml:space="preserve">and </w:t>
      </w:r>
      <w:proofErr w:type="spellStart"/>
      <w:r w:rsidRPr="00B85E4D">
        <w:rPr>
          <w:sz w:val="24"/>
          <w:szCs w:val="24"/>
          <w:lang w:val="en-GB"/>
        </w:rPr>
        <w:t>OneBusinessYear</w:t>
      </w:r>
      <w:proofErr w:type="spellEnd"/>
      <w:r w:rsidRPr="00B85E4D">
        <w:rPr>
          <w:sz w:val="24"/>
          <w:szCs w:val="24"/>
          <w:lang w:val="en-GB"/>
        </w:rPr>
        <w:t xml:space="preserve"> = one year expressed in business days using the relevant business day convention. </w:t>
      </w:r>
    </w:p>
    <w:p w14:paraId="3698E393" w14:textId="3B798187" w:rsidR="00684318" w:rsidRPr="00B85E4D" w:rsidRDefault="00684318" w:rsidP="00684318">
      <w:pPr>
        <w:spacing w:after="0"/>
        <w:ind w:firstLine="708"/>
        <w:jc w:val="both"/>
        <w:rPr>
          <w:sz w:val="24"/>
          <w:szCs w:val="24"/>
          <w:lang w:val="en-GB"/>
        </w:rPr>
      </w:pPr>
      <w:r w:rsidRPr="00B85E4D">
        <w:rPr>
          <w:sz w:val="24"/>
          <w:szCs w:val="24"/>
          <w:lang w:val="en-GB"/>
        </w:rPr>
        <w:t xml:space="preserve">The start date of a transaction is the earliest date at which at least a contractual payment under the transaction, to or from the </w:t>
      </w:r>
      <w:r w:rsidR="00865CE4" w:rsidRPr="00B85E4D">
        <w:rPr>
          <w:sz w:val="24"/>
          <w:szCs w:val="24"/>
          <w:lang w:val="en-GB"/>
        </w:rPr>
        <w:t>bank</w:t>
      </w:r>
      <w:r w:rsidRPr="00B85E4D">
        <w:rPr>
          <w:sz w:val="24"/>
          <w:szCs w:val="24"/>
          <w:lang w:val="en-GB"/>
        </w:rPr>
        <w:t xml:space="preserve">, is either fixed or exchanged, other than payments related to the exchange of collateral in a margin agreement. Where the transaction has already been fixing or making payments at the reporting date, the start date of a transaction shall be equal to 0. </w:t>
      </w:r>
    </w:p>
    <w:p w14:paraId="36443E8B" w14:textId="2580ADFC" w:rsidR="00684318" w:rsidRPr="00B85E4D" w:rsidRDefault="00684318" w:rsidP="00684318">
      <w:pPr>
        <w:spacing w:after="0"/>
        <w:ind w:firstLine="708"/>
        <w:jc w:val="both"/>
        <w:rPr>
          <w:sz w:val="24"/>
          <w:szCs w:val="24"/>
          <w:lang w:val="en-GB"/>
        </w:rPr>
      </w:pPr>
      <w:r w:rsidRPr="00B85E4D">
        <w:rPr>
          <w:sz w:val="24"/>
          <w:szCs w:val="24"/>
          <w:lang w:val="en-GB"/>
        </w:rPr>
        <w:t xml:space="preserve">Where a transaction involves one or more contractual future dates on which the </w:t>
      </w:r>
      <w:r w:rsidR="00865CE4" w:rsidRPr="00B85E4D">
        <w:rPr>
          <w:sz w:val="24"/>
          <w:szCs w:val="24"/>
          <w:lang w:val="en-GB"/>
        </w:rPr>
        <w:t>bank</w:t>
      </w:r>
      <w:r w:rsidRPr="00B85E4D">
        <w:rPr>
          <w:sz w:val="24"/>
          <w:szCs w:val="24"/>
          <w:lang w:val="en-GB"/>
        </w:rPr>
        <w:t xml:space="preserve"> or the counterparty may decide to terminate the transaction prior to its contractual maturity, the start date of a transaction shall be equal to the earliest of the following:</w:t>
      </w:r>
    </w:p>
    <w:p w14:paraId="531C34B7" w14:textId="1BCA9E58" w:rsidR="00684318"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t xml:space="preserve">72.1.1. the date or the earliest of the multiple future dates at which the bank or the counterparty may decide to terminate the transaction earlier than its contractual </w:t>
      </w:r>
      <w:proofErr w:type="gramStart"/>
      <w:r w:rsidRPr="00B85E4D">
        <w:rPr>
          <w:rFonts w:cs="Times New Roman"/>
          <w:sz w:val="24"/>
          <w:szCs w:val="24"/>
          <w:lang w:val="en-GB"/>
        </w:rPr>
        <w:t>maturity;</w:t>
      </w:r>
      <w:proofErr w:type="gramEnd"/>
    </w:p>
    <w:p w14:paraId="09B1EEC2" w14:textId="77777777" w:rsidR="00684318"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t xml:space="preserve">72.1.2. the date at which a transaction starts fixing or making payments, other than payments related to the exchange of collateral in a margin agreement. </w:t>
      </w:r>
    </w:p>
    <w:p w14:paraId="3A72B561" w14:textId="77777777" w:rsidR="00684318"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t xml:space="preserve">Where a transaction has a financial instrument as the underlying instrument that may give rise to contractual obligations additional to those of the transaction, the start date of a transaction shall be determined </w:t>
      </w:r>
      <w:proofErr w:type="gramStart"/>
      <w:r w:rsidRPr="00B85E4D">
        <w:rPr>
          <w:rFonts w:cs="Times New Roman"/>
          <w:sz w:val="24"/>
          <w:szCs w:val="24"/>
          <w:lang w:val="en-GB"/>
        </w:rPr>
        <w:t>on the basis of</w:t>
      </w:r>
      <w:proofErr w:type="gramEnd"/>
      <w:r w:rsidRPr="00B85E4D">
        <w:rPr>
          <w:rFonts w:cs="Times New Roman"/>
          <w:sz w:val="24"/>
          <w:szCs w:val="24"/>
          <w:lang w:val="en-GB"/>
        </w:rPr>
        <w:t xml:space="preserve"> the earliest date at which the underlying instrument starts fixing or making payments. </w:t>
      </w:r>
    </w:p>
    <w:p w14:paraId="49C01D14" w14:textId="77777777" w:rsidR="00684318"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t xml:space="preserve">The end date of a transaction is the latest date at which a contractual payment under the transaction, to or from the bank, is or may be exchanged. </w:t>
      </w:r>
    </w:p>
    <w:p w14:paraId="4A434E44" w14:textId="53644BE3" w:rsidR="00684318"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t xml:space="preserve">Where a transaction has a financial instrument as an underlying instrument that may give rise to contractual obligations additional to those of the transaction, the end date of a transaction shall be determined </w:t>
      </w:r>
      <w:proofErr w:type="gramStart"/>
      <w:r w:rsidRPr="00B85E4D">
        <w:rPr>
          <w:rFonts w:cs="Times New Roman"/>
          <w:sz w:val="24"/>
          <w:szCs w:val="24"/>
          <w:lang w:val="en-GB"/>
        </w:rPr>
        <w:t>on the basis of</w:t>
      </w:r>
      <w:proofErr w:type="gramEnd"/>
      <w:r w:rsidRPr="00B85E4D">
        <w:rPr>
          <w:rFonts w:cs="Times New Roman"/>
          <w:sz w:val="24"/>
          <w:szCs w:val="24"/>
          <w:lang w:val="en-GB"/>
        </w:rPr>
        <w:t xml:space="preserve"> the last contractual payment of the underlying instrument of the transaction.</w:t>
      </w:r>
    </w:p>
    <w:p w14:paraId="44957556" w14:textId="77777777" w:rsidR="00982AF5" w:rsidRPr="00B85E4D" w:rsidRDefault="00684318" w:rsidP="00684318">
      <w:pPr>
        <w:spacing w:after="0"/>
        <w:ind w:firstLine="708"/>
        <w:jc w:val="both"/>
        <w:rPr>
          <w:rFonts w:cs="Times New Roman"/>
          <w:sz w:val="24"/>
          <w:szCs w:val="24"/>
          <w:lang w:val="en-GB"/>
        </w:rPr>
      </w:pPr>
      <w:r w:rsidRPr="00B85E4D">
        <w:rPr>
          <w:rFonts w:cs="Times New Roman"/>
          <w:sz w:val="24"/>
          <w:szCs w:val="24"/>
          <w:lang w:val="en-GB"/>
        </w:rPr>
        <w:t xml:space="preserve">Where a transaction is structured to settle an outstanding exposure following specified payment dates and where the terms are reset so that the market value of the transaction is zero on those specified dates, the settlement of the outstanding exposure at those specified dates is considered a contractual payment under the same </w:t>
      </w:r>
      <w:proofErr w:type="gramStart"/>
      <w:r w:rsidRPr="00B85E4D">
        <w:rPr>
          <w:rFonts w:cs="Times New Roman"/>
          <w:sz w:val="24"/>
          <w:szCs w:val="24"/>
          <w:lang w:val="en-GB"/>
        </w:rPr>
        <w:t>transaction;</w:t>
      </w:r>
      <w:proofErr w:type="gramEnd"/>
      <w:r w:rsidRPr="00B85E4D">
        <w:rPr>
          <w:rFonts w:cs="Times New Roman"/>
          <w:sz w:val="24"/>
          <w:szCs w:val="24"/>
          <w:lang w:val="en-GB"/>
        </w:rPr>
        <w:t xml:space="preserve"> </w:t>
      </w:r>
    </w:p>
    <w:p w14:paraId="06AD80F6" w14:textId="77777777" w:rsidR="00982AF5"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t>72.2.</w:t>
      </w:r>
      <w:r w:rsidR="00684318" w:rsidRPr="00B85E4D">
        <w:rPr>
          <w:rFonts w:cs="Times New Roman"/>
          <w:sz w:val="24"/>
          <w:szCs w:val="24"/>
          <w:lang w:val="en-GB"/>
        </w:rPr>
        <w:t xml:space="preserve"> for transactions mapped to the foreign exchange risk category, </w:t>
      </w:r>
      <w:r w:rsidRPr="00B85E4D">
        <w:rPr>
          <w:rFonts w:cs="Times New Roman"/>
          <w:sz w:val="24"/>
          <w:szCs w:val="24"/>
          <w:lang w:val="en-GB"/>
        </w:rPr>
        <w:t>banks</w:t>
      </w:r>
      <w:r w:rsidR="00684318" w:rsidRPr="00B85E4D">
        <w:rPr>
          <w:rFonts w:cs="Times New Roman"/>
          <w:sz w:val="24"/>
          <w:szCs w:val="24"/>
          <w:lang w:val="en-GB"/>
        </w:rPr>
        <w:t xml:space="preserve"> shall calculate the adjusted notional amount as follows: </w:t>
      </w:r>
    </w:p>
    <w:p w14:paraId="1D2EC601" w14:textId="77777777" w:rsidR="00982AF5"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t xml:space="preserve">72.2.1. </w:t>
      </w:r>
      <w:r w:rsidR="00684318" w:rsidRPr="00B85E4D">
        <w:rPr>
          <w:rFonts w:cs="Times New Roman"/>
          <w:sz w:val="24"/>
          <w:szCs w:val="24"/>
          <w:lang w:val="en-GB"/>
        </w:rPr>
        <w:t xml:space="preserve">where the transaction consists of one payment leg, the adjusted notional amount shall be the notional amount of the derivative </w:t>
      </w:r>
      <w:proofErr w:type="gramStart"/>
      <w:r w:rsidR="00684318" w:rsidRPr="00B85E4D">
        <w:rPr>
          <w:rFonts w:cs="Times New Roman"/>
          <w:sz w:val="24"/>
          <w:szCs w:val="24"/>
          <w:lang w:val="en-GB"/>
        </w:rPr>
        <w:t>contract;</w:t>
      </w:r>
      <w:proofErr w:type="gramEnd"/>
      <w:r w:rsidR="00684318" w:rsidRPr="00B85E4D">
        <w:rPr>
          <w:rFonts w:cs="Times New Roman"/>
          <w:sz w:val="24"/>
          <w:szCs w:val="24"/>
          <w:lang w:val="en-GB"/>
        </w:rPr>
        <w:t xml:space="preserve"> </w:t>
      </w:r>
    </w:p>
    <w:p w14:paraId="6B30CE3C" w14:textId="403F873B" w:rsidR="00684318"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t xml:space="preserve">72.2.2. </w:t>
      </w:r>
      <w:r w:rsidR="00684318" w:rsidRPr="00B85E4D">
        <w:rPr>
          <w:rFonts w:cs="Times New Roman"/>
          <w:sz w:val="24"/>
          <w:szCs w:val="24"/>
          <w:lang w:val="en-GB"/>
        </w:rPr>
        <w:t xml:space="preserve">where the transaction consists of two payment legs and the notional amount of one payment leg is denominated in the </w:t>
      </w:r>
      <w:r w:rsidRPr="00B85E4D">
        <w:rPr>
          <w:rFonts w:cs="Times New Roman"/>
          <w:sz w:val="24"/>
          <w:szCs w:val="24"/>
          <w:lang w:val="en-GB"/>
        </w:rPr>
        <w:t>bank</w:t>
      </w:r>
      <w:r w:rsidR="00684318" w:rsidRPr="00B85E4D">
        <w:rPr>
          <w:rFonts w:cs="Times New Roman"/>
          <w:sz w:val="24"/>
          <w:szCs w:val="24"/>
          <w:lang w:val="en-GB"/>
        </w:rPr>
        <w:t xml:space="preserve">'s reporting currency, the adjusted notional amount shall be the notional amount of the other payment </w:t>
      </w:r>
      <w:proofErr w:type="gramStart"/>
      <w:r w:rsidR="00684318" w:rsidRPr="00B85E4D">
        <w:rPr>
          <w:rFonts w:cs="Times New Roman"/>
          <w:sz w:val="24"/>
          <w:szCs w:val="24"/>
          <w:lang w:val="en-GB"/>
        </w:rPr>
        <w:t>leg;</w:t>
      </w:r>
      <w:proofErr w:type="gramEnd"/>
    </w:p>
    <w:p w14:paraId="583E9F19" w14:textId="77777777" w:rsidR="00982AF5"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lastRenderedPageBreak/>
        <w:t xml:space="preserve">72.2.3. </w:t>
      </w:r>
      <w:r w:rsidR="00684318" w:rsidRPr="00B85E4D">
        <w:rPr>
          <w:rFonts w:cs="Times New Roman"/>
          <w:sz w:val="24"/>
          <w:szCs w:val="24"/>
          <w:lang w:val="en-GB"/>
        </w:rPr>
        <w:t xml:space="preserve">where the transaction consists of two payment legs and the notional amount of each payment leg is denominated in a currency other than the </w:t>
      </w:r>
      <w:r w:rsidRPr="00B85E4D">
        <w:rPr>
          <w:rFonts w:cs="Times New Roman"/>
          <w:sz w:val="24"/>
          <w:szCs w:val="24"/>
          <w:lang w:val="en-GB"/>
        </w:rPr>
        <w:t>bank</w:t>
      </w:r>
      <w:r w:rsidR="00684318" w:rsidRPr="00B85E4D">
        <w:rPr>
          <w:rFonts w:cs="Times New Roman"/>
          <w:sz w:val="24"/>
          <w:szCs w:val="24"/>
          <w:lang w:val="en-GB"/>
        </w:rPr>
        <w:t xml:space="preserve">'s reporting currency, the adjusted notional amount shall be the largest of the notional amounts of the two payment legs after those amounts have been converted into the </w:t>
      </w:r>
      <w:r w:rsidRPr="00B85E4D">
        <w:rPr>
          <w:rFonts w:cs="Times New Roman"/>
          <w:sz w:val="24"/>
          <w:szCs w:val="24"/>
          <w:lang w:val="en-GB"/>
        </w:rPr>
        <w:t>bank</w:t>
      </w:r>
      <w:r w:rsidR="00684318" w:rsidRPr="00B85E4D">
        <w:rPr>
          <w:rFonts w:cs="Times New Roman"/>
          <w:sz w:val="24"/>
          <w:szCs w:val="24"/>
          <w:lang w:val="en-GB"/>
        </w:rPr>
        <w:t xml:space="preserve">'s reporting currency at the prevailing spot exchange </w:t>
      </w:r>
      <w:proofErr w:type="gramStart"/>
      <w:r w:rsidR="00684318" w:rsidRPr="00B85E4D">
        <w:rPr>
          <w:rFonts w:cs="Times New Roman"/>
          <w:sz w:val="24"/>
          <w:szCs w:val="24"/>
          <w:lang w:val="en-GB"/>
        </w:rPr>
        <w:t>rate;</w:t>
      </w:r>
      <w:proofErr w:type="gramEnd"/>
      <w:r w:rsidR="00684318" w:rsidRPr="00B85E4D">
        <w:rPr>
          <w:rFonts w:cs="Times New Roman"/>
          <w:sz w:val="24"/>
          <w:szCs w:val="24"/>
          <w:lang w:val="en-GB"/>
        </w:rPr>
        <w:t xml:space="preserve"> </w:t>
      </w:r>
    </w:p>
    <w:p w14:paraId="75951D28" w14:textId="77777777" w:rsidR="00982AF5"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t>72.3.</w:t>
      </w:r>
      <w:r w:rsidR="00684318" w:rsidRPr="00B85E4D">
        <w:rPr>
          <w:rFonts w:cs="Times New Roman"/>
          <w:sz w:val="24"/>
          <w:szCs w:val="24"/>
          <w:lang w:val="en-GB"/>
        </w:rPr>
        <w:t xml:space="preserve"> for transactions mapped to the equity risk category or commodity risk category, </w:t>
      </w:r>
      <w:r w:rsidRPr="00B85E4D">
        <w:rPr>
          <w:rFonts w:cs="Times New Roman"/>
          <w:sz w:val="24"/>
          <w:szCs w:val="24"/>
          <w:lang w:val="en-GB"/>
        </w:rPr>
        <w:t>banks</w:t>
      </w:r>
      <w:r w:rsidR="00684318" w:rsidRPr="00B85E4D">
        <w:rPr>
          <w:rFonts w:cs="Times New Roman"/>
          <w:sz w:val="24"/>
          <w:szCs w:val="24"/>
          <w:lang w:val="en-GB"/>
        </w:rPr>
        <w:t xml:space="preserve"> shall calculate the adjusted notional amount as the product of the market price of one unit of the underlying instrument of the transaction and the number of units in the underlying instrument referenced by the transaction</w:t>
      </w:r>
      <w:r w:rsidRPr="00B85E4D">
        <w:rPr>
          <w:rFonts w:cs="Times New Roman"/>
          <w:sz w:val="24"/>
          <w:szCs w:val="24"/>
          <w:lang w:val="en-GB"/>
        </w:rPr>
        <w:t>.</w:t>
      </w:r>
    </w:p>
    <w:p w14:paraId="6F1D1612" w14:textId="77777777" w:rsidR="00982AF5"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t>W</w:t>
      </w:r>
      <w:r w:rsidR="00684318" w:rsidRPr="00B85E4D">
        <w:rPr>
          <w:rFonts w:cs="Times New Roman"/>
          <w:sz w:val="24"/>
          <w:szCs w:val="24"/>
          <w:lang w:val="en-GB"/>
        </w:rPr>
        <w:t xml:space="preserve">here a transaction mapped to the equity risk category or commodity risk category is contractually expressed as a notional amount, </w:t>
      </w:r>
      <w:r w:rsidRPr="00B85E4D">
        <w:rPr>
          <w:rFonts w:cs="Times New Roman"/>
          <w:sz w:val="24"/>
          <w:szCs w:val="24"/>
          <w:lang w:val="en-GB"/>
        </w:rPr>
        <w:t>banks</w:t>
      </w:r>
      <w:r w:rsidR="00684318" w:rsidRPr="00B85E4D">
        <w:rPr>
          <w:rFonts w:cs="Times New Roman"/>
          <w:sz w:val="24"/>
          <w:szCs w:val="24"/>
          <w:lang w:val="en-GB"/>
        </w:rPr>
        <w:t xml:space="preserve"> shall use the notional amount of the transaction rather than the number of units in the underlying instrument as the adjusted notional </w:t>
      </w:r>
      <w:proofErr w:type="gramStart"/>
      <w:r w:rsidR="00684318" w:rsidRPr="00B85E4D">
        <w:rPr>
          <w:rFonts w:cs="Times New Roman"/>
          <w:sz w:val="24"/>
          <w:szCs w:val="24"/>
          <w:lang w:val="en-GB"/>
        </w:rPr>
        <w:t>amount;</w:t>
      </w:r>
      <w:proofErr w:type="gramEnd"/>
      <w:r w:rsidR="00684318" w:rsidRPr="00B85E4D">
        <w:rPr>
          <w:rFonts w:cs="Times New Roman"/>
          <w:sz w:val="24"/>
          <w:szCs w:val="24"/>
          <w:lang w:val="en-GB"/>
        </w:rPr>
        <w:t xml:space="preserve"> </w:t>
      </w:r>
    </w:p>
    <w:p w14:paraId="2EB3134F" w14:textId="77777777" w:rsidR="00982AF5"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t xml:space="preserve">72.4. </w:t>
      </w:r>
      <w:r w:rsidR="00684318" w:rsidRPr="00B85E4D">
        <w:rPr>
          <w:rFonts w:cs="Times New Roman"/>
          <w:sz w:val="24"/>
          <w:szCs w:val="24"/>
          <w:lang w:val="en-GB"/>
        </w:rPr>
        <w:t xml:space="preserve">for transactions mapped to the other risks category, </w:t>
      </w:r>
      <w:r w:rsidRPr="00B85E4D">
        <w:rPr>
          <w:rFonts w:cs="Times New Roman"/>
          <w:sz w:val="24"/>
          <w:szCs w:val="24"/>
          <w:lang w:val="en-GB"/>
        </w:rPr>
        <w:t>banks</w:t>
      </w:r>
      <w:r w:rsidR="00684318" w:rsidRPr="00B85E4D">
        <w:rPr>
          <w:rFonts w:cs="Times New Roman"/>
          <w:sz w:val="24"/>
          <w:szCs w:val="24"/>
          <w:lang w:val="en-GB"/>
        </w:rPr>
        <w:t xml:space="preserve"> shall calculate the adjusted notional amount </w:t>
      </w:r>
      <w:proofErr w:type="gramStart"/>
      <w:r w:rsidR="00684318" w:rsidRPr="00B85E4D">
        <w:rPr>
          <w:rFonts w:cs="Times New Roman"/>
          <w:sz w:val="24"/>
          <w:szCs w:val="24"/>
          <w:lang w:val="en-GB"/>
        </w:rPr>
        <w:t>on the basis of</w:t>
      </w:r>
      <w:proofErr w:type="gramEnd"/>
      <w:r w:rsidR="00684318" w:rsidRPr="00B85E4D">
        <w:rPr>
          <w:rFonts w:cs="Times New Roman"/>
          <w:sz w:val="24"/>
          <w:szCs w:val="24"/>
          <w:lang w:val="en-GB"/>
        </w:rPr>
        <w:t xml:space="preserve"> the most appropriate method among the methods set out in </w:t>
      </w:r>
      <w:r w:rsidRPr="00B85E4D">
        <w:rPr>
          <w:rFonts w:cs="Times New Roman"/>
          <w:sz w:val="24"/>
          <w:szCs w:val="24"/>
          <w:lang w:val="en-GB"/>
        </w:rPr>
        <w:t>subparagraphs</w:t>
      </w:r>
      <w:r w:rsidR="00684318" w:rsidRPr="00B85E4D">
        <w:rPr>
          <w:rFonts w:cs="Times New Roman"/>
          <w:sz w:val="24"/>
          <w:szCs w:val="24"/>
          <w:lang w:val="en-GB"/>
        </w:rPr>
        <w:t xml:space="preserve"> </w:t>
      </w:r>
      <w:r w:rsidRPr="00B85E4D">
        <w:rPr>
          <w:rFonts w:cs="Times New Roman"/>
          <w:sz w:val="24"/>
          <w:szCs w:val="24"/>
          <w:lang w:val="en-GB"/>
        </w:rPr>
        <w:t>72.1. – 72.3.,</w:t>
      </w:r>
      <w:r w:rsidR="00684318" w:rsidRPr="00B85E4D">
        <w:rPr>
          <w:rFonts w:cs="Times New Roman"/>
          <w:sz w:val="24"/>
          <w:szCs w:val="24"/>
          <w:lang w:val="en-GB"/>
        </w:rPr>
        <w:t xml:space="preserve"> depending on the nature and characteristics of the underlying instrument of the transaction. </w:t>
      </w:r>
    </w:p>
    <w:p w14:paraId="7A09F54F" w14:textId="420E9A49" w:rsidR="00982AF5" w:rsidRPr="00B85E4D" w:rsidRDefault="00982AF5" w:rsidP="00684318">
      <w:pPr>
        <w:spacing w:after="0"/>
        <w:ind w:firstLine="708"/>
        <w:jc w:val="both"/>
        <w:rPr>
          <w:rFonts w:cs="Times New Roman"/>
          <w:sz w:val="24"/>
          <w:szCs w:val="24"/>
          <w:lang w:val="en-GB"/>
        </w:rPr>
      </w:pPr>
      <w:r w:rsidRPr="00B85E4D">
        <w:rPr>
          <w:rFonts w:cs="Times New Roman"/>
          <w:b/>
          <w:bCs/>
          <w:sz w:val="24"/>
          <w:szCs w:val="24"/>
          <w:lang w:val="en-GB"/>
        </w:rPr>
        <w:t>73</w:t>
      </w:r>
      <w:r w:rsidR="00684318" w:rsidRPr="00B85E4D">
        <w:rPr>
          <w:rFonts w:cs="Times New Roman"/>
          <w:b/>
          <w:bCs/>
          <w:sz w:val="24"/>
          <w:szCs w:val="24"/>
          <w:lang w:val="en-GB"/>
        </w:rPr>
        <w:t>.</w:t>
      </w:r>
      <w:r w:rsidR="00684318" w:rsidRPr="00B85E4D">
        <w:rPr>
          <w:rFonts w:cs="Times New Roman"/>
          <w:sz w:val="24"/>
          <w:szCs w:val="24"/>
          <w:lang w:val="en-GB"/>
        </w:rPr>
        <w:t xml:space="preserve"> </w:t>
      </w:r>
      <w:r w:rsidRPr="00B85E4D">
        <w:rPr>
          <w:rFonts w:cs="Times New Roman"/>
          <w:sz w:val="24"/>
          <w:szCs w:val="24"/>
          <w:lang w:val="en-GB"/>
        </w:rPr>
        <w:t>Banks</w:t>
      </w:r>
      <w:r w:rsidR="00684318" w:rsidRPr="00B85E4D">
        <w:rPr>
          <w:rFonts w:cs="Times New Roman"/>
          <w:sz w:val="24"/>
          <w:szCs w:val="24"/>
          <w:lang w:val="en-GB"/>
        </w:rPr>
        <w:t xml:space="preserve"> shall determine the notional amount or number of units of the underlying instrument for the purpose of calculating the adjusted notional amount of a transaction referred to in paragraph </w:t>
      </w:r>
      <w:r w:rsidRPr="00B85E4D">
        <w:rPr>
          <w:rFonts w:cs="Times New Roman"/>
          <w:sz w:val="24"/>
          <w:szCs w:val="24"/>
          <w:lang w:val="en-GB"/>
        </w:rPr>
        <w:t>72</w:t>
      </w:r>
      <w:r w:rsidR="00684318" w:rsidRPr="00B85E4D">
        <w:rPr>
          <w:rFonts w:cs="Times New Roman"/>
          <w:sz w:val="24"/>
          <w:szCs w:val="24"/>
          <w:lang w:val="en-GB"/>
        </w:rPr>
        <w:t xml:space="preserve"> as follows: </w:t>
      </w:r>
    </w:p>
    <w:p w14:paraId="06C13D24" w14:textId="77777777" w:rsidR="00982AF5" w:rsidRPr="00B85E4D" w:rsidRDefault="00982AF5" w:rsidP="00684318">
      <w:pPr>
        <w:spacing w:after="0"/>
        <w:ind w:firstLine="708"/>
        <w:jc w:val="both"/>
        <w:rPr>
          <w:sz w:val="24"/>
          <w:szCs w:val="24"/>
          <w:lang w:val="en-GB"/>
        </w:rPr>
      </w:pPr>
      <w:r w:rsidRPr="00B85E4D">
        <w:rPr>
          <w:rFonts w:cs="Times New Roman"/>
          <w:sz w:val="24"/>
          <w:szCs w:val="24"/>
          <w:lang w:val="en-GB"/>
        </w:rPr>
        <w:t>73.1.</w:t>
      </w:r>
      <w:r w:rsidR="00684318" w:rsidRPr="00B85E4D">
        <w:rPr>
          <w:rFonts w:cs="Times New Roman"/>
          <w:sz w:val="24"/>
          <w:szCs w:val="24"/>
          <w:lang w:val="en-GB"/>
        </w:rPr>
        <w:t xml:space="preserve"> where the notional amount or the number of units of the underlying instrument of a transaction is not fixed until its contractual maturity:</w:t>
      </w:r>
      <w:r w:rsidR="00684318" w:rsidRPr="00B85E4D">
        <w:rPr>
          <w:sz w:val="24"/>
          <w:szCs w:val="24"/>
          <w:lang w:val="en-GB"/>
        </w:rPr>
        <w:t xml:space="preserve"> </w:t>
      </w:r>
    </w:p>
    <w:p w14:paraId="24D3F05B" w14:textId="77777777" w:rsidR="00982AF5" w:rsidRPr="00B85E4D" w:rsidRDefault="00982AF5" w:rsidP="00684318">
      <w:pPr>
        <w:spacing w:after="0"/>
        <w:ind w:firstLine="708"/>
        <w:jc w:val="both"/>
        <w:rPr>
          <w:rFonts w:cs="Times New Roman"/>
          <w:sz w:val="24"/>
          <w:szCs w:val="24"/>
          <w:lang w:val="en-GB"/>
        </w:rPr>
      </w:pPr>
      <w:r w:rsidRPr="00B85E4D">
        <w:rPr>
          <w:sz w:val="24"/>
          <w:szCs w:val="24"/>
          <w:lang w:val="en-GB"/>
        </w:rPr>
        <w:t xml:space="preserve">73.1.1. </w:t>
      </w:r>
      <w:r w:rsidR="00684318" w:rsidRPr="00B85E4D">
        <w:rPr>
          <w:rFonts w:cs="Times New Roman"/>
          <w:sz w:val="24"/>
          <w:szCs w:val="24"/>
          <w:lang w:val="en-GB"/>
        </w:rPr>
        <w:t xml:space="preserve">for deterministic notional amounts and numbers of units of the underlying instrument, the notional amount shall be the weighted average of all the deterministic values of notional amounts or number of units of the underlying instrument, as applicable, until the contractual maturity of the transaction, where the weights are the proportion of the time period during which each value of notional amount </w:t>
      </w:r>
      <w:proofErr w:type="gramStart"/>
      <w:r w:rsidR="00684318" w:rsidRPr="00B85E4D">
        <w:rPr>
          <w:rFonts w:cs="Times New Roman"/>
          <w:sz w:val="24"/>
          <w:szCs w:val="24"/>
          <w:lang w:val="en-GB"/>
        </w:rPr>
        <w:t>applies;</w:t>
      </w:r>
      <w:proofErr w:type="gramEnd"/>
      <w:r w:rsidR="00684318" w:rsidRPr="00B85E4D">
        <w:rPr>
          <w:rFonts w:cs="Times New Roman"/>
          <w:sz w:val="24"/>
          <w:szCs w:val="24"/>
          <w:lang w:val="en-GB"/>
        </w:rPr>
        <w:t xml:space="preserve"> </w:t>
      </w:r>
    </w:p>
    <w:p w14:paraId="369F5679" w14:textId="77777777" w:rsidR="00982AF5"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t>73.1.2.</w:t>
      </w:r>
      <w:r w:rsidR="00684318" w:rsidRPr="00B85E4D">
        <w:rPr>
          <w:rFonts w:cs="Times New Roman"/>
          <w:sz w:val="24"/>
          <w:szCs w:val="24"/>
          <w:lang w:val="en-GB"/>
        </w:rPr>
        <w:t xml:space="preserve"> for stochastic notional amounts and numbers of units of the underlying instrument, the notional amount shall be the amount determined by fixing current market values within the formula for calculating the future market </w:t>
      </w:r>
      <w:proofErr w:type="gramStart"/>
      <w:r w:rsidR="00684318" w:rsidRPr="00B85E4D">
        <w:rPr>
          <w:rFonts w:cs="Times New Roman"/>
          <w:sz w:val="24"/>
          <w:szCs w:val="24"/>
          <w:lang w:val="en-GB"/>
        </w:rPr>
        <w:t>values;</w:t>
      </w:r>
      <w:proofErr w:type="gramEnd"/>
      <w:r w:rsidR="00684318" w:rsidRPr="00B85E4D">
        <w:rPr>
          <w:rFonts w:cs="Times New Roman"/>
          <w:sz w:val="24"/>
          <w:szCs w:val="24"/>
          <w:lang w:val="en-GB"/>
        </w:rPr>
        <w:t xml:space="preserve"> </w:t>
      </w:r>
    </w:p>
    <w:p w14:paraId="1CDFB854" w14:textId="77777777" w:rsidR="00982AF5" w:rsidRPr="00B85E4D" w:rsidRDefault="00982AF5" w:rsidP="00684318">
      <w:pPr>
        <w:spacing w:after="0"/>
        <w:ind w:firstLine="708"/>
        <w:jc w:val="both"/>
        <w:rPr>
          <w:rFonts w:cs="Times New Roman"/>
          <w:sz w:val="24"/>
          <w:szCs w:val="24"/>
          <w:lang w:val="en-GB"/>
        </w:rPr>
      </w:pPr>
      <w:r w:rsidRPr="00B85E4D">
        <w:rPr>
          <w:rFonts w:cs="Times New Roman"/>
          <w:sz w:val="24"/>
          <w:szCs w:val="24"/>
          <w:lang w:val="en-GB"/>
        </w:rPr>
        <w:t xml:space="preserve">73.2. </w:t>
      </w:r>
      <w:r w:rsidR="00684318" w:rsidRPr="00B85E4D">
        <w:rPr>
          <w:rFonts w:cs="Times New Roman"/>
          <w:sz w:val="24"/>
          <w:szCs w:val="24"/>
          <w:lang w:val="en-GB"/>
        </w:rPr>
        <w:t xml:space="preserve">for contracts with multiple exchanges of the notional amount, the notional amount shall be multiplied by the number of remaining payments still to be made in accordance with the </w:t>
      </w:r>
      <w:proofErr w:type="gramStart"/>
      <w:r w:rsidR="00684318" w:rsidRPr="00B85E4D">
        <w:rPr>
          <w:rFonts w:cs="Times New Roman"/>
          <w:sz w:val="24"/>
          <w:szCs w:val="24"/>
          <w:lang w:val="en-GB"/>
        </w:rPr>
        <w:t>contracts;</w:t>
      </w:r>
      <w:proofErr w:type="gramEnd"/>
      <w:r w:rsidR="00684318" w:rsidRPr="00B85E4D">
        <w:rPr>
          <w:rFonts w:cs="Times New Roman"/>
          <w:sz w:val="24"/>
          <w:szCs w:val="24"/>
          <w:lang w:val="en-GB"/>
        </w:rPr>
        <w:t xml:space="preserve"> </w:t>
      </w:r>
    </w:p>
    <w:p w14:paraId="1536327B" w14:textId="17928E4A" w:rsidR="00982AF5" w:rsidRPr="00B85E4D" w:rsidRDefault="00982AF5" w:rsidP="00684318">
      <w:pPr>
        <w:spacing w:after="0"/>
        <w:ind w:firstLine="708"/>
        <w:jc w:val="both"/>
        <w:rPr>
          <w:sz w:val="24"/>
          <w:szCs w:val="24"/>
          <w:lang w:val="en-GB"/>
        </w:rPr>
      </w:pPr>
      <w:r w:rsidRPr="00B85E4D">
        <w:rPr>
          <w:rFonts w:cs="Times New Roman"/>
          <w:sz w:val="24"/>
          <w:szCs w:val="24"/>
          <w:lang w:val="en-GB"/>
        </w:rPr>
        <w:t xml:space="preserve">73.3. </w:t>
      </w:r>
      <w:r w:rsidR="00684318" w:rsidRPr="00B85E4D">
        <w:rPr>
          <w:rFonts w:cs="Times New Roman"/>
          <w:sz w:val="24"/>
          <w:szCs w:val="24"/>
          <w:lang w:val="en-GB"/>
        </w:rPr>
        <w:t xml:space="preserve">for contracts that provide for a multiplication of the cash-flow payments or a multiplication of the underlying of the derivative contract, the notional amount shall be adjusted by </w:t>
      </w:r>
      <w:r w:rsidR="00865CE4" w:rsidRPr="00B85E4D">
        <w:rPr>
          <w:rFonts w:cs="Times New Roman"/>
          <w:sz w:val="24"/>
          <w:szCs w:val="24"/>
          <w:lang w:val="en-GB"/>
        </w:rPr>
        <w:t>a bank</w:t>
      </w:r>
      <w:r w:rsidR="00684318" w:rsidRPr="00B85E4D">
        <w:rPr>
          <w:rFonts w:cs="Times New Roman"/>
          <w:sz w:val="24"/>
          <w:szCs w:val="24"/>
          <w:lang w:val="en-GB"/>
        </w:rPr>
        <w:t xml:space="preserve"> to </w:t>
      </w:r>
      <w:proofErr w:type="gramStart"/>
      <w:r w:rsidR="00684318" w:rsidRPr="00B85E4D">
        <w:rPr>
          <w:rFonts w:cs="Times New Roman"/>
          <w:sz w:val="24"/>
          <w:szCs w:val="24"/>
          <w:lang w:val="en-GB"/>
        </w:rPr>
        <w:t>take into account</w:t>
      </w:r>
      <w:proofErr w:type="gramEnd"/>
      <w:r w:rsidR="00684318" w:rsidRPr="00B85E4D">
        <w:rPr>
          <w:rFonts w:cs="Times New Roman"/>
          <w:sz w:val="24"/>
          <w:szCs w:val="24"/>
          <w:lang w:val="en-GB"/>
        </w:rPr>
        <w:t xml:space="preserve"> the effects of the multiplication on the risk structure of those contracts.</w:t>
      </w:r>
      <w:r w:rsidR="00684318" w:rsidRPr="00B85E4D">
        <w:rPr>
          <w:sz w:val="24"/>
          <w:szCs w:val="24"/>
          <w:lang w:val="en-GB"/>
        </w:rPr>
        <w:t xml:space="preserve"> </w:t>
      </w:r>
    </w:p>
    <w:p w14:paraId="0195E378" w14:textId="6376A5A2" w:rsidR="00684318" w:rsidRPr="00B85E4D" w:rsidRDefault="00982AF5" w:rsidP="00684318">
      <w:pPr>
        <w:spacing w:after="0"/>
        <w:ind w:firstLine="708"/>
        <w:jc w:val="both"/>
        <w:rPr>
          <w:rFonts w:cs="Times New Roman"/>
          <w:sz w:val="24"/>
          <w:szCs w:val="24"/>
          <w:lang w:val="en-GB"/>
        </w:rPr>
      </w:pPr>
      <w:r w:rsidRPr="00B85E4D">
        <w:rPr>
          <w:b/>
          <w:bCs/>
          <w:sz w:val="24"/>
          <w:szCs w:val="24"/>
          <w:lang w:val="en-GB"/>
        </w:rPr>
        <w:t>74.</w:t>
      </w:r>
      <w:r w:rsidRPr="00B85E4D">
        <w:rPr>
          <w:sz w:val="24"/>
          <w:szCs w:val="24"/>
          <w:lang w:val="en-GB"/>
        </w:rPr>
        <w:t xml:space="preserve"> </w:t>
      </w:r>
      <w:r w:rsidRPr="00B85E4D">
        <w:rPr>
          <w:rFonts w:cs="Times New Roman"/>
          <w:sz w:val="24"/>
          <w:szCs w:val="24"/>
          <w:lang w:val="en-GB"/>
        </w:rPr>
        <w:t xml:space="preserve">Banks </w:t>
      </w:r>
      <w:r w:rsidR="00684318" w:rsidRPr="00B85E4D">
        <w:rPr>
          <w:rFonts w:cs="Times New Roman"/>
          <w:sz w:val="24"/>
          <w:szCs w:val="24"/>
          <w:lang w:val="en-GB"/>
        </w:rPr>
        <w:t xml:space="preserve">shall convert the adjusted notional amount of a transaction into their reporting currency at the prevailing spot exchange rate where the adjusted notional amount is calculated from a contractual notional amount or a market price of the number of units of the underlying instrument denominated in another currency. </w:t>
      </w:r>
    </w:p>
    <w:p w14:paraId="21BD4440" w14:textId="77777777" w:rsidR="00F72F59" w:rsidRPr="00B85E4D" w:rsidRDefault="00F72F59" w:rsidP="00684318">
      <w:pPr>
        <w:spacing w:after="0"/>
        <w:ind w:firstLine="708"/>
        <w:jc w:val="both"/>
        <w:rPr>
          <w:rFonts w:cs="Times New Roman"/>
          <w:sz w:val="24"/>
          <w:szCs w:val="24"/>
          <w:lang w:val="en-GB"/>
        </w:rPr>
      </w:pPr>
    </w:p>
    <w:p w14:paraId="6329C878" w14:textId="54FC90B0" w:rsidR="00F72F59" w:rsidRPr="00B85E4D" w:rsidRDefault="00F72F59" w:rsidP="00F72F59">
      <w:pPr>
        <w:spacing w:after="0"/>
        <w:ind w:firstLine="708"/>
        <w:jc w:val="center"/>
        <w:rPr>
          <w:rFonts w:cs="Times New Roman"/>
          <w:i/>
          <w:iCs/>
          <w:sz w:val="24"/>
          <w:szCs w:val="24"/>
          <w:lang w:val="en-GB"/>
        </w:rPr>
      </w:pPr>
      <w:r w:rsidRPr="00B85E4D">
        <w:rPr>
          <w:rFonts w:cs="Times New Roman"/>
          <w:i/>
          <w:iCs/>
          <w:sz w:val="24"/>
          <w:szCs w:val="24"/>
          <w:lang w:val="en-GB"/>
        </w:rPr>
        <w:t>Section 9</w:t>
      </w:r>
    </w:p>
    <w:p w14:paraId="4090DA3A" w14:textId="3228D2BF" w:rsidR="00F72F59" w:rsidRPr="00B85E4D" w:rsidRDefault="00F72F59" w:rsidP="00F72F59">
      <w:pPr>
        <w:spacing w:after="0"/>
        <w:ind w:firstLine="708"/>
        <w:jc w:val="center"/>
        <w:rPr>
          <w:rFonts w:cs="Times New Roman"/>
          <w:b/>
          <w:bCs/>
          <w:sz w:val="24"/>
          <w:szCs w:val="24"/>
          <w:lang w:val="en-GB"/>
        </w:rPr>
      </w:pPr>
      <w:r w:rsidRPr="00B85E4D">
        <w:rPr>
          <w:rFonts w:cs="Times New Roman"/>
          <w:b/>
          <w:bCs/>
          <w:sz w:val="24"/>
          <w:szCs w:val="24"/>
          <w:lang w:val="en-GB"/>
        </w:rPr>
        <w:t xml:space="preserve">Maturity factor and supervisory coefficient assigned by the National Bank of Moldova to the hedging </w:t>
      </w:r>
      <w:proofErr w:type="gramStart"/>
      <w:r w:rsidRPr="00B85E4D">
        <w:rPr>
          <w:rFonts w:cs="Times New Roman"/>
          <w:b/>
          <w:bCs/>
          <w:sz w:val="24"/>
          <w:szCs w:val="24"/>
          <w:lang w:val="en-GB"/>
        </w:rPr>
        <w:t>set</w:t>
      </w:r>
      <w:proofErr w:type="gramEnd"/>
    </w:p>
    <w:p w14:paraId="1010C1B5" w14:textId="77777777" w:rsidR="00F72F59" w:rsidRPr="00B85E4D" w:rsidRDefault="00F72F59" w:rsidP="00F72F59">
      <w:pPr>
        <w:spacing w:after="0"/>
        <w:ind w:firstLine="708"/>
        <w:jc w:val="both"/>
        <w:rPr>
          <w:rFonts w:cs="Times New Roman"/>
          <w:sz w:val="24"/>
          <w:szCs w:val="24"/>
          <w:lang w:val="en-GB"/>
        </w:rPr>
      </w:pPr>
    </w:p>
    <w:p w14:paraId="6DE40009" w14:textId="37431388" w:rsidR="00F72F59" w:rsidRPr="00B85E4D" w:rsidRDefault="00642537" w:rsidP="00F72F59">
      <w:pPr>
        <w:spacing w:after="0"/>
        <w:ind w:firstLine="708"/>
        <w:jc w:val="both"/>
        <w:rPr>
          <w:rFonts w:cs="Times New Roman"/>
          <w:sz w:val="24"/>
          <w:szCs w:val="24"/>
          <w:lang w:val="en-GB"/>
        </w:rPr>
      </w:pPr>
      <w:r w:rsidRPr="00B85E4D">
        <w:rPr>
          <w:rFonts w:cs="Times New Roman"/>
          <w:b/>
          <w:bCs/>
          <w:sz w:val="24"/>
          <w:szCs w:val="24"/>
          <w:lang w:val="en-GB"/>
        </w:rPr>
        <w:t>75.</w:t>
      </w:r>
      <w:r w:rsidRPr="00B85E4D">
        <w:rPr>
          <w:rFonts w:cs="Times New Roman"/>
          <w:sz w:val="24"/>
          <w:szCs w:val="24"/>
          <w:lang w:val="en-GB"/>
        </w:rPr>
        <w:t xml:space="preserve"> </w:t>
      </w:r>
      <w:r w:rsidR="00F72F59" w:rsidRPr="00B85E4D">
        <w:rPr>
          <w:rFonts w:cs="Times New Roman"/>
          <w:sz w:val="24"/>
          <w:szCs w:val="24"/>
          <w:lang w:val="en-GB"/>
        </w:rPr>
        <w:t>For transactions included in the netting sets referred to in paragraph 49, banks shall calculate the maturity factor (MF) according to the following formula:</w:t>
      </w:r>
    </w:p>
    <w:p w14:paraId="5EE25DD1" w14:textId="1A9E7E1D" w:rsidR="00F72F59" w:rsidRPr="00B85E4D" w:rsidRDefault="00642537" w:rsidP="00F72F59">
      <w:pPr>
        <w:spacing w:after="0"/>
        <w:ind w:firstLine="708"/>
        <w:jc w:val="both"/>
        <w:rPr>
          <w:rFonts w:cs="Times New Roman"/>
          <w:sz w:val="24"/>
          <w:szCs w:val="24"/>
          <w:lang w:val="en-GB"/>
        </w:rPr>
      </w:pPr>
      <w:r w:rsidRPr="00B85E4D">
        <w:rPr>
          <w:rFonts w:cs="Times New Roman"/>
          <w:noProof/>
          <w:sz w:val="24"/>
          <w:szCs w:val="24"/>
          <w:lang w:val="en-GB"/>
        </w:rPr>
        <w:drawing>
          <wp:inline distT="0" distB="0" distL="0" distR="0" wp14:anchorId="4D58D921" wp14:editId="648EA279">
            <wp:extent cx="5068007" cy="695422"/>
            <wp:effectExtent l="0" t="0" r="0" b="9525"/>
            <wp:docPr id="165804639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46393" name=""/>
                    <pic:cNvPicPr/>
                  </pic:nvPicPr>
                  <pic:blipFill>
                    <a:blip r:embed="rId17"/>
                    <a:stretch>
                      <a:fillRect/>
                    </a:stretch>
                  </pic:blipFill>
                  <pic:spPr>
                    <a:xfrm>
                      <a:off x="0" y="0"/>
                      <a:ext cx="5068007" cy="695422"/>
                    </a:xfrm>
                    <a:prstGeom prst="rect">
                      <a:avLst/>
                    </a:prstGeom>
                  </pic:spPr>
                </pic:pic>
              </a:graphicData>
            </a:graphic>
          </wp:inline>
        </w:drawing>
      </w:r>
    </w:p>
    <w:p w14:paraId="02587267" w14:textId="77777777" w:rsidR="00642537" w:rsidRPr="00B85E4D" w:rsidRDefault="00642537" w:rsidP="00F72F59">
      <w:pPr>
        <w:spacing w:after="0"/>
        <w:ind w:firstLine="708"/>
        <w:jc w:val="both"/>
        <w:rPr>
          <w:sz w:val="24"/>
          <w:szCs w:val="24"/>
          <w:lang w:val="en-GB"/>
        </w:rPr>
      </w:pPr>
      <w:r w:rsidRPr="00B85E4D">
        <w:rPr>
          <w:rFonts w:ascii="Cambria Math" w:hAnsi="Cambria Math" w:cs="Cambria Math"/>
          <w:sz w:val="24"/>
          <w:szCs w:val="24"/>
          <w:lang w:val="en-GB"/>
        </w:rPr>
        <w:lastRenderedPageBreak/>
        <w:t xml:space="preserve"> </w:t>
      </w:r>
      <w:r w:rsidRPr="00B85E4D">
        <w:rPr>
          <w:sz w:val="24"/>
          <w:szCs w:val="24"/>
          <w:lang w:val="en-GB"/>
        </w:rPr>
        <w:t xml:space="preserve">where: </w:t>
      </w:r>
    </w:p>
    <w:p w14:paraId="50405F32" w14:textId="77777777" w:rsidR="00642537" w:rsidRPr="00B85E4D" w:rsidRDefault="00642537" w:rsidP="00F72F59">
      <w:pPr>
        <w:spacing w:after="0"/>
        <w:ind w:firstLine="708"/>
        <w:jc w:val="both"/>
        <w:rPr>
          <w:sz w:val="24"/>
          <w:szCs w:val="24"/>
          <w:lang w:val="en-GB"/>
        </w:rPr>
      </w:pPr>
      <w:r w:rsidRPr="00B85E4D">
        <w:rPr>
          <w:sz w:val="24"/>
          <w:szCs w:val="24"/>
          <w:lang w:val="en-GB"/>
        </w:rPr>
        <w:t xml:space="preserve">MF = the maturity </w:t>
      </w:r>
      <w:proofErr w:type="gramStart"/>
      <w:r w:rsidRPr="00B85E4D">
        <w:rPr>
          <w:sz w:val="24"/>
          <w:szCs w:val="24"/>
          <w:lang w:val="en-GB"/>
        </w:rPr>
        <w:t>factor;</w:t>
      </w:r>
      <w:proofErr w:type="gramEnd"/>
      <w:r w:rsidRPr="00B85E4D">
        <w:rPr>
          <w:sz w:val="24"/>
          <w:szCs w:val="24"/>
          <w:lang w:val="en-GB"/>
        </w:rPr>
        <w:t xml:space="preserve"> </w:t>
      </w:r>
    </w:p>
    <w:p w14:paraId="394AB1DE" w14:textId="16297A2A" w:rsidR="00F72F59" w:rsidRPr="00B85E4D" w:rsidRDefault="00642537" w:rsidP="00F72F59">
      <w:pPr>
        <w:spacing w:after="0"/>
        <w:ind w:firstLine="708"/>
        <w:jc w:val="both"/>
        <w:rPr>
          <w:sz w:val="24"/>
          <w:szCs w:val="24"/>
          <w:lang w:val="en-GB"/>
        </w:rPr>
      </w:pPr>
      <w:r w:rsidRPr="00B85E4D">
        <w:rPr>
          <w:sz w:val="24"/>
          <w:szCs w:val="24"/>
          <w:lang w:val="en-GB"/>
        </w:rPr>
        <w:t>M = the remaining maturity of the transaction which is equal to the period of time needed for the termination of all contractual obligations of the transaction; for that purpose, any optionality of a derivative contract shall be considered to be a contractual obligation; the remaining maturity shall be expressed in years using the relevant business day convention; where a transaction has another derivative contract as underlying instrument that may give rise to additional contractual obligations beyond the contractual obligations of the transaction, the remaining maturity of the transaction shall be equal to the period of time needed for the termination of all contractual obligations of the underlying instrument; where a transaction is structured to settle outstanding exposure following specified payment dates and where the terms are reset so that the market value of the transaction is zero on those specified dates, the remaining maturity of the transaction shall be equal to the time until the next reset date; and</w:t>
      </w:r>
    </w:p>
    <w:p w14:paraId="62BB09AD" w14:textId="4FCB7D3A" w:rsidR="00642537" w:rsidRPr="00B85E4D" w:rsidRDefault="00642537" w:rsidP="00F72F59">
      <w:pPr>
        <w:spacing w:after="0"/>
        <w:ind w:firstLine="708"/>
        <w:jc w:val="both"/>
        <w:rPr>
          <w:rFonts w:cs="Times New Roman"/>
          <w:sz w:val="24"/>
          <w:szCs w:val="24"/>
          <w:lang w:val="en-GB"/>
        </w:rPr>
      </w:pPr>
      <w:proofErr w:type="spellStart"/>
      <w:r w:rsidRPr="00B85E4D">
        <w:rPr>
          <w:rFonts w:cs="Times New Roman"/>
          <w:sz w:val="24"/>
          <w:szCs w:val="24"/>
          <w:lang w:val="en-GB"/>
        </w:rPr>
        <w:t>OneBusinessYear</w:t>
      </w:r>
      <w:proofErr w:type="spellEnd"/>
      <w:r w:rsidRPr="00B85E4D">
        <w:rPr>
          <w:rFonts w:cs="Times New Roman"/>
          <w:sz w:val="24"/>
          <w:szCs w:val="24"/>
          <w:lang w:val="en-GB"/>
        </w:rPr>
        <w:t xml:space="preserve"> = one year expressed in business days using the relevant business day </w:t>
      </w:r>
      <w:proofErr w:type="gramStart"/>
      <w:r w:rsidRPr="00B85E4D">
        <w:rPr>
          <w:rFonts w:cs="Times New Roman"/>
          <w:sz w:val="24"/>
          <w:szCs w:val="24"/>
          <w:lang w:val="en-GB"/>
        </w:rPr>
        <w:t>convention;</w:t>
      </w:r>
      <w:proofErr w:type="gramEnd"/>
    </w:p>
    <w:p w14:paraId="15597144" w14:textId="77777777" w:rsidR="00827505" w:rsidRPr="00B85E4D" w:rsidRDefault="00827505" w:rsidP="00F72F59">
      <w:pPr>
        <w:spacing w:after="0"/>
        <w:ind w:firstLine="708"/>
        <w:jc w:val="both"/>
        <w:rPr>
          <w:rFonts w:cs="Times New Roman"/>
          <w:sz w:val="24"/>
          <w:szCs w:val="24"/>
          <w:lang w:val="en-GB"/>
        </w:rPr>
      </w:pPr>
    </w:p>
    <w:p w14:paraId="1CBDC15C" w14:textId="6CE2286E" w:rsidR="00827505" w:rsidRPr="00B85E4D" w:rsidRDefault="00827505" w:rsidP="00827505">
      <w:pPr>
        <w:spacing w:after="0"/>
        <w:ind w:firstLine="708"/>
        <w:jc w:val="both"/>
        <w:rPr>
          <w:rFonts w:cs="Times New Roman"/>
          <w:sz w:val="24"/>
          <w:szCs w:val="24"/>
          <w:lang w:val="en-GB"/>
        </w:rPr>
      </w:pPr>
      <w:r w:rsidRPr="00B85E4D">
        <w:rPr>
          <w:rFonts w:cs="Times New Roman"/>
          <w:b/>
          <w:bCs/>
          <w:sz w:val="24"/>
          <w:szCs w:val="24"/>
          <w:lang w:val="en-GB"/>
        </w:rPr>
        <w:t>76.</w:t>
      </w:r>
      <w:r w:rsidRPr="00B85E4D">
        <w:rPr>
          <w:rFonts w:cs="Times New Roman"/>
          <w:sz w:val="24"/>
          <w:szCs w:val="24"/>
          <w:lang w:val="en-GB"/>
        </w:rPr>
        <w:t xml:space="preserve"> For the purposes of paragraph 75, the residual maturity shall be equal to the remaining period until the next reset date of transactions that are structured in such a way that the remaining exposures are settled on certain specified payment dates and whose terms are reset so that the market value of the contract is zero on those specified dates.</w:t>
      </w:r>
    </w:p>
    <w:p w14:paraId="36AF98B3" w14:textId="77777777" w:rsidR="00827505" w:rsidRPr="00B85E4D" w:rsidRDefault="00827505" w:rsidP="00827505">
      <w:pPr>
        <w:spacing w:after="0"/>
        <w:ind w:firstLine="708"/>
        <w:jc w:val="both"/>
        <w:rPr>
          <w:rFonts w:cs="Times New Roman"/>
          <w:sz w:val="24"/>
          <w:szCs w:val="24"/>
          <w:lang w:val="en-GB"/>
        </w:rPr>
      </w:pPr>
    </w:p>
    <w:p w14:paraId="72C972E9" w14:textId="3330067A" w:rsidR="00827505" w:rsidRPr="00B85E4D" w:rsidRDefault="00827505" w:rsidP="00827505">
      <w:pPr>
        <w:spacing w:after="0"/>
        <w:ind w:firstLine="708"/>
        <w:jc w:val="both"/>
        <w:rPr>
          <w:rFonts w:cs="Times New Roman"/>
          <w:sz w:val="24"/>
          <w:szCs w:val="24"/>
          <w:lang w:val="en-GB"/>
        </w:rPr>
      </w:pPr>
      <w:r w:rsidRPr="00B85E4D">
        <w:rPr>
          <w:rFonts w:cs="Times New Roman"/>
          <w:b/>
          <w:bCs/>
          <w:sz w:val="24"/>
          <w:szCs w:val="24"/>
          <w:lang w:val="en-GB"/>
        </w:rPr>
        <w:t>77.</w:t>
      </w:r>
      <w:r w:rsidRPr="00B85E4D">
        <w:rPr>
          <w:rFonts w:cs="Times New Roman"/>
          <w:sz w:val="24"/>
          <w:szCs w:val="24"/>
          <w:lang w:val="en-GB"/>
        </w:rPr>
        <w:t xml:space="preserve"> For the calculation of the add-on for a hedging set, as referred to in paragraphs 78–98, the supervisory factor coefficient assigned by the National Bank of Moldova to the hedging set (denoted as “є”) shall be as follows:</w:t>
      </w:r>
    </w:p>
    <w:p w14:paraId="31E4B9D6" w14:textId="6593CE02" w:rsidR="00827505" w:rsidRPr="00B85E4D" w:rsidRDefault="00827505" w:rsidP="00827505">
      <w:pPr>
        <w:spacing w:after="0"/>
        <w:ind w:firstLine="708"/>
        <w:jc w:val="both"/>
        <w:rPr>
          <w:rFonts w:cs="Times New Roman"/>
          <w:sz w:val="24"/>
          <w:szCs w:val="24"/>
          <w:lang w:val="en-GB"/>
        </w:rPr>
      </w:pPr>
      <w:r w:rsidRPr="00B85E4D">
        <w:rPr>
          <w:rFonts w:cs="Times New Roman"/>
          <w:noProof/>
          <w:sz w:val="24"/>
          <w:szCs w:val="24"/>
          <w:lang w:val="en-GB"/>
        </w:rPr>
        <w:drawing>
          <wp:inline distT="0" distB="0" distL="0" distR="0" wp14:anchorId="7253087A" wp14:editId="0A4E8B77">
            <wp:extent cx="5939790" cy="833755"/>
            <wp:effectExtent l="0" t="0" r="3810" b="4445"/>
            <wp:docPr id="41053043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30433" name=""/>
                    <pic:cNvPicPr/>
                  </pic:nvPicPr>
                  <pic:blipFill>
                    <a:blip r:embed="rId18"/>
                    <a:stretch>
                      <a:fillRect/>
                    </a:stretch>
                  </pic:blipFill>
                  <pic:spPr>
                    <a:xfrm>
                      <a:off x="0" y="0"/>
                      <a:ext cx="5939790" cy="833755"/>
                    </a:xfrm>
                    <a:prstGeom prst="rect">
                      <a:avLst/>
                    </a:prstGeom>
                  </pic:spPr>
                </pic:pic>
              </a:graphicData>
            </a:graphic>
          </wp:inline>
        </w:drawing>
      </w:r>
    </w:p>
    <w:p w14:paraId="2F0762CD" w14:textId="4966116A" w:rsidR="00827505" w:rsidRPr="00B85E4D" w:rsidRDefault="00827505" w:rsidP="00827505">
      <w:pPr>
        <w:tabs>
          <w:tab w:val="left" w:pos="1092"/>
        </w:tabs>
        <w:jc w:val="center"/>
        <w:rPr>
          <w:rFonts w:cs="Times New Roman"/>
          <w:i/>
          <w:iCs/>
          <w:sz w:val="24"/>
          <w:szCs w:val="24"/>
          <w:lang w:val="en-GB"/>
        </w:rPr>
      </w:pPr>
      <w:r w:rsidRPr="00B85E4D">
        <w:rPr>
          <w:rFonts w:cs="Times New Roman"/>
          <w:i/>
          <w:iCs/>
          <w:sz w:val="24"/>
          <w:szCs w:val="24"/>
          <w:lang w:val="en-GB"/>
        </w:rPr>
        <w:t>Section 10</w:t>
      </w:r>
    </w:p>
    <w:p w14:paraId="2CA87EF4" w14:textId="3242280E" w:rsidR="00827505" w:rsidRPr="00B85E4D" w:rsidRDefault="00827505" w:rsidP="00827505">
      <w:pPr>
        <w:tabs>
          <w:tab w:val="left" w:pos="1092"/>
        </w:tabs>
        <w:jc w:val="center"/>
        <w:rPr>
          <w:rFonts w:cs="Times New Roman"/>
          <w:b/>
          <w:bCs/>
          <w:sz w:val="24"/>
          <w:szCs w:val="24"/>
          <w:lang w:val="en-GB"/>
        </w:rPr>
      </w:pPr>
      <w:r w:rsidRPr="00B85E4D">
        <w:rPr>
          <w:rFonts w:cs="Times New Roman"/>
          <w:b/>
          <w:bCs/>
          <w:sz w:val="24"/>
          <w:szCs w:val="24"/>
          <w:lang w:val="en-GB"/>
        </w:rPr>
        <w:t>Interest rate risk category add-on</w:t>
      </w:r>
    </w:p>
    <w:p w14:paraId="571B2131" w14:textId="77777777" w:rsidR="00827505" w:rsidRPr="00B85E4D" w:rsidRDefault="00827505" w:rsidP="00827505">
      <w:pPr>
        <w:tabs>
          <w:tab w:val="left" w:pos="1092"/>
        </w:tabs>
        <w:rPr>
          <w:rFonts w:cs="Times New Roman"/>
          <w:sz w:val="24"/>
          <w:szCs w:val="24"/>
          <w:lang w:val="en-GB"/>
        </w:rPr>
      </w:pPr>
    </w:p>
    <w:p w14:paraId="46D54ABD" w14:textId="1D02BB70"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78.</w:t>
      </w:r>
      <w:r w:rsidRPr="00B85E4D">
        <w:rPr>
          <w:rFonts w:cs="Times New Roman"/>
          <w:sz w:val="24"/>
          <w:szCs w:val="24"/>
          <w:lang w:val="en-GB"/>
        </w:rPr>
        <w:t xml:space="preserve"> For the purposes of paragraphs 66–68, banks shall calculate the interest rate risk category add-on for a given netting set as follows:</w:t>
      </w:r>
    </w:p>
    <w:p w14:paraId="7FA10AC0" w14:textId="1038F04B" w:rsidR="00827505" w:rsidRPr="00B85E4D" w:rsidRDefault="00827505" w:rsidP="00827505">
      <w:pPr>
        <w:tabs>
          <w:tab w:val="left" w:pos="1092"/>
        </w:tabs>
        <w:jc w:val="center"/>
        <w:rPr>
          <w:rFonts w:cs="Times New Roman"/>
          <w:sz w:val="24"/>
          <w:szCs w:val="24"/>
          <w:lang w:val="en-GB"/>
        </w:rPr>
      </w:pPr>
      <w:r w:rsidRPr="00B85E4D">
        <w:rPr>
          <w:rFonts w:eastAsia="Times New Roman" w:cs="Times New Roman"/>
          <w:noProof/>
          <w:sz w:val="24"/>
          <w:szCs w:val="24"/>
          <w:lang w:val="en-GB" w:eastAsia="ro-MD"/>
        </w:rPr>
        <w:drawing>
          <wp:inline distT="0" distB="0" distL="0" distR="0" wp14:anchorId="73672D9B" wp14:editId="584D94A2">
            <wp:extent cx="2247900" cy="609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7900" cy="609600"/>
                    </a:xfrm>
                    <a:prstGeom prst="rect">
                      <a:avLst/>
                    </a:prstGeom>
                    <a:noFill/>
                    <a:ln>
                      <a:noFill/>
                    </a:ln>
                  </pic:spPr>
                </pic:pic>
              </a:graphicData>
            </a:graphic>
          </wp:inline>
        </w:drawing>
      </w:r>
    </w:p>
    <w:p w14:paraId="2636F53B" w14:textId="4FAF3960" w:rsidR="00827505" w:rsidRPr="00B85E4D" w:rsidRDefault="00827505" w:rsidP="00827505">
      <w:pPr>
        <w:tabs>
          <w:tab w:val="left" w:pos="1092"/>
        </w:tabs>
        <w:rPr>
          <w:rFonts w:cs="Times New Roman"/>
          <w:sz w:val="24"/>
          <w:szCs w:val="24"/>
          <w:lang w:val="en-GB"/>
        </w:rPr>
      </w:pPr>
      <w:r w:rsidRPr="00B85E4D">
        <w:rPr>
          <w:rFonts w:ascii="Cambria Math" w:hAnsi="Cambria Math" w:cs="Cambria Math"/>
          <w:sz w:val="24"/>
          <w:szCs w:val="24"/>
          <w:lang w:val="en-GB"/>
        </w:rPr>
        <w:t xml:space="preserve"> </w:t>
      </w:r>
    </w:p>
    <w:p w14:paraId="256A97D3" w14:textId="1E527F5C"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t>where:</w:t>
      </w:r>
    </w:p>
    <w:p w14:paraId="054F46C2" w14:textId="3148DA06"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r>
      <w:proofErr w:type="spellStart"/>
      <w:r w:rsidRPr="00B85E4D">
        <w:rPr>
          <w:rFonts w:cs="Times New Roman"/>
          <w:sz w:val="24"/>
          <w:szCs w:val="24"/>
          <w:lang w:val="en-GB"/>
        </w:rPr>
        <w:t>AddOn</w:t>
      </w:r>
      <w:r w:rsidRPr="00B85E4D">
        <w:rPr>
          <w:rFonts w:cs="Times New Roman"/>
          <w:sz w:val="24"/>
          <w:szCs w:val="24"/>
          <w:vertAlign w:val="superscript"/>
          <w:lang w:val="en-GB"/>
        </w:rPr>
        <w:t>IR</w:t>
      </w:r>
      <w:proofErr w:type="spellEnd"/>
      <w:r w:rsidRPr="00B85E4D">
        <w:rPr>
          <w:rFonts w:cs="Times New Roman"/>
          <w:sz w:val="24"/>
          <w:szCs w:val="24"/>
          <w:lang w:val="en-GB"/>
        </w:rPr>
        <w:t xml:space="preserve"> = the interest rate risk category </w:t>
      </w:r>
      <w:proofErr w:type="gramStart"/>
      <w:r w:rsidRPr="00B85E4D">
        <w:rPr>
          <w:rFonts w:cs="Times New Roman"/>
          <w:sz w:val="24"/>
          <w:szCs w:val="24"/>
          <w:lang w:val="en-GB"/>
        </w:rPr>
        <w:t>add-on;</w:t>
      </w:r>
      <w:proofErr w:type="gramEnd"/>
    </w:p>
    <w:p w14:paraId="4D5A306E" w14:textId="517DA9D9"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t>j = the index that denotes all the interest rate risk hedging sets established in accordance with paragraph 59(1) and with paragraphs 61–64 for the netting set; and</w:t>
      </w:r>
    </w:p>
    <w:p w14:paraId="1800CF65" w14:textId="293D5537"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r>
      <w:proofErr w:type="spellStart"/>
      <w:proofErr w:type="gramStart"/>
      <w:r w:rsidRPr="00B85E4D">
        <w:rPr>
          <w:rFonts w:cs="Times New Roman"/>
          <w:sz w:val="24"/>
          <w:szCs w:val="24"/>
          <w:lang w:val="en-GB"/>
        </w:rPr>
        <w:t>AddOn</w:t>
      </w:r>
      <w:r w:rsidRPr="00B85E4D">
        <w:rPr>
          <w:rFonts w:cs="Times New Roman"/>
          <w:sz w:val="24"/>
          <w:szCs w:val="24"/>
          <w:vertAlign w:val="subscript"/>
          <w:lang w:val="en-GB"/>
        </w:rPr>
        <w:t>j</w:t>
      </w:r>
      <w:r w:rsidRPr="00B85E4D">
        <w:rPr>
          <w:rFonts w:cs="Times New Roman"/>
          <w:sz w:val="24"/>
          <w:szCs w:val="24"/>
          <w:vertAlign w:val="superscript"/>
          <w:lang w:val="en-GB"/>
        </w:rPr>
        <w:t>IR</w:t>
      </w:r>
      <w:proofErr w:type="spellEnd"/>
      <w:r w:rsidRPr="00B85E4D">
        <w:rPr>
          <w:rFonts w:cs="Times New Roman"/>
          <w:sz w:val="24"/>
          <w:szCs w:val="24"/>
          <w:lang w:val="en-GB"/>
        </w:rPr>
        <w:t xml:space="preserve">  =</w:t>
      </w:r>
      <w:proofErr w:type="gramEnd"/>
      <w:r w:rsidRPr="00B85E4D">
        <w:rPr>
          <w:rFonts w:cs="Times New Roman"/>
          <w:sz w:val="24"/>
          <w:szCs w:val="24"/>
          <w:lang w:val="en-GB"/>
        </w:rPr>
        <w:t xml:space="preserve"> the interest rate risk category add-on for hedging set j, calculated in accordance with paragraph 79.</w:t>
      </w:r>
    </w:p>
    <w:p w14:paraId="78A025D5" w14:textId="2D6DCE42"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79.</w:t>
      </w:r>
      <w:r w:rsidRPr="00B85E4D">
        <w:rPr>
          <w:rFonts w:cs="Times New Roman"/>
          <w:sz w:val="24"/>
          <w:szCs w:val="24"/>
          <w:lang w:val="en-GB"/>
        </w:rPr>
        <w:t xml:space="preserve"> Banks shall calculate the add-on for hedging set j under the interest rate risk category as follows:</w:t>
      </w:r>
    </w:p>
    <w:p w14:paraId="21D84CF6" w14:textId="020D2FC5" w:rsidR="00827505" w:rsidRPr="00B85E4D" w:rsidRDefault="00827505" w:rsidP="00827505">
      <w:pPr>
        <w:tabs>
          <w:tab w:val="left" w:pos="1092"/>
        </w:tabs>
        <w:jc w:val="center"/>
        <w:rPr>
          <w:rFonts w:cs="Times New Roman"/>
          <w:sz w:val="24"/>
          <w:szCs w:val="24"/>
          <w:lang w:val="en-GB"/>
        </w:rPr>
      </w:pPr>
      <w:r w:rsidRPr="00B85E4D">
        <w:rPr>
          <w:rFonts w:eastAsia="Times New Roman" w:cs="Times New Roman"/>
          <w:noProof/>
          <w:sz w:val="24"/>
          <w:szCs w:val="24"/>
          <w:lang w:val="en-GB" w:eastAsia="ro-MD"/>
        </w:rPr>
        <w:lastRenderedPageBreak/>
        <w:drawing>
          <wp:inline distT="0" distB="0" distL="0" distR="0" wp14:anchorId="4EEE4719" wp14:editId="262A5C35">
            <wp:extent cx="3019425" cy="371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9425" cy="371475"/>
                    </a:xfrm>
                    <a:prstGeom prst="rect">
                      <a:avLst/>
                    </a:prstGeom>
                    <a:noFill/>
                    <a:ln>
                      <a:noFill/>
                    </a:ln>
                  </pic:spPr>
                </pic:pic>
              </a:graphicData>
            </a:graphic>
          </wp:inline>
        </w:drawing>
      </w:r>
    </w:p>
    <w:p w14:paraId="5DF12E45" w14:textId="2BB5B77C"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t>where:</w:t>
      </w:r>
    </w:p>
    <w:p w14:paraId="0888FFC9" w14:textId="4C13B85B"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r>
      <w:proofErr w:type="spellStart"/>
      <w:r w:rsidRPr="00B85E4D">
        <w:rPr>
          <w:rFonts w:cs="Times New Roman"/>
          <w:sz w:val="24"/>
          <w:szCs w:val="24"/>
          <w:lang w:val="en-GB"/>
        </w:rPr>
        <w:t>ε</w:t>
      </w:r>
      <w:r w:rsidRPr="00B85E4D">
        <w:rPr>
          <w:rFonts w:cs="Times New Roman"/>
          <w:sz w:val="24"/>
          <w:szCs w:val="24"/>
          <w:vertAlign w:val="subscript"/>
          <w:lang w:val="en-GB"/>
        </w:rPr>
        <w:t>j</w:t>
      </w:r>
      <w:proofErr w:type="spellEnd"/>
      <w:r w:rsidRPr="00B85E4D">
        <w:rPr>
          <w:rFonts w:cs="Times New Roman"/>
          <w:sz w:val="24"/>
          <w:szCs w:val="24"/>
          <w:lang w:val="en-GB"/>
        </w:rPr>
        <w:t xml:space="preserve"> = the </w:t>
      </w:r>
      <w:r w:rsidR="00B80E91" w:rsidRPr="00B85E4D">
        <w:rPr>
          <w:rFonts w:cs="Times New Roman"/>
          <w:sz w:val="24"/>
          <w:szCs w:val="24"/>
          <w:lang w:val="en-GB"/>
        </w:rPr>
        <w:t xml:space="preserve">hedging set </w:t>
      </w:r>
      <w:r w:rsidRPr="00B85E4D">
        <w:rPr>
          <w:rFonts w:cs="Times New Roman"/>
          <w:sz w:val="24"/>
          <w:szCs w:val="24"/>
          <w:lang w:val="en-GB"/>
        </w:rPr>
        <w:t xml:space="preserve">supervisory factor coefficient assigned by the National Bank of Moldova to hedging set j, determined in accordance with the applicable value specified in paragraph </w:t>
      </w:r>
      <w:proofErr w:type="gramStart"/>
      <w:r w:rsidRPr="00B85E4D">
        <w:rPr>
          <w:rFonts w:cs="Times New Roman"/>
          <w:sz w:val="24"/>
          <w:szCs w:val="24"/>
          <w:lang w:val="en-GB"/>
        </w:rPr>
        <w:t>77;</w:t>
      </w:r>
      <w:proofErr w:type="gramEnd"/>
    </w:p>
    <w:p w14:paraId="0AC97905" w14:textId="7796BBA1"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t>SF</w:t>
      </w:r>
      <w:r w:rsidRPr="00B85E4D">
        <w:rPr>
          <w:rFonts w:cs="Times New Roman"/>
          <w:sz w:val="24"/>
          <w:szCs w:val="24"/>
          <w:vertAlign w:val="superscript"/>
          <w:lang w:val="en-GB"/>
        </w:rPr>
        <w:t>IR</w:t>
      </w:r>
      <w:r w:rsidRPr="00B85E4D">
        <w:rPr>
          <w:rFonts w:cs="Times New Roman"/>
          <w:sz w:val="24"/>
          <w:szCs w:val="24"/>
          <w:lang w:val="en-GB"/>
        </w:rPr>
        <w:t xml:space="preserve"> = the supervisory factor for the interest rate risk category, with a value equal to 0.5%; and</w:t>
      </w:r>
    </w:p>
    <w:p w14:paraId="6E3474BA" w14:textId="2C02941A" w:rsidR="00827505" w:rsidRPr="00B85E4D" w:rsidRDefault="00827505" w:rsidP="00827505">
      <w:pPr>
        <w:tabs>
          <w:tab w:val="left" w:pos="1092"/>
        </w:tabs>
        <w:rPr>
          <w:rFonts w:cs="Times New Roman"/>
          <w:sz w:val="24"/>
          <w:szCs w:val="24"/>
          <w:lang w:val="en-GB"/>
        </w:rPr>
      </w:pPr>
      <w:r w:rsidRPr="00B85E4D">
        <w:rPr>
          <w:rFonts w:cs="Times New Roman"/>
          <w:sz w:val="24"/>
          <w:szCs w:val="24"/>
          <w:lang w:val="en-GB"/>
        </w:rPr>
        <w:tab/>
      </w:r>
      <w:proofErr w:type="spellStart"/>
      <w:proofErr w:type="gramStart"/>
      <w:r w:rsidRPr="00B85E4D">
        <w:rPr>
          <w:rFonts w:cs="Times New Roman"/>
          <w:sz w:val="24"/>
          <w:szCs w:val="24"/>
          <w:lang w:val="en-GB"/>
        </w:rPr>
        <w:t>EffNot</w:t>
      </w:r>
      <w:r w:rsidRPr="00B85E4D">
        <w:rPr>
          <w:rFonts w:cs="Times New Roman"/>
          <w:sz w:val="24"/>
          <w:szCs w:val="24"/>
          <w:vertAlign w:val="subscript"/>
          <w:lang w:val="en-GB"/>
        </w:rPr>
        <w:t>j</w:t>
      </w:r>
      <w:r w:rsidRPr="00B85E4D">
        <w:rPr>
          <w:rFonts w:cs="Times New Roman"/>
          <w:sz w:val="24"/>
          <w:szCs w:val="24"/>
          <w:vertAlign w:val="superscript"/>
          <w:lang w:val="en-GB"/>
        </w:rPr>
        <w:t>IR</w:t>
      </w:r>
      <w:proofErr w:type="spellEnd"/>
      <w:r w:rsidRPr="00B85E4D">
        <w:rPr>
          <w:rFonts w:cs="Times New Roman"/>
          <w:sz w:val="24"/>
          <w:szCs w:val="24"/>
          <w:lang w:val="en-GB"/>
        </w:rPr>
        <w:t xml:space="preserve">  =</w:t>
      </w:r>
      <w:proofErr w:type="gramEnd"/>
      <w:r w:rsidRPr="00B85E4D">
        <w:rPr>
          <w:rFonts w:cs="Times New Roman"/>
          <w:sz w:val="24"/>
          <w:szCs w:val="24"/>
          <w:lang w:val="en-GB"/>
        </w:rPr>
        <w:t xml:space="preserve"> the effective notional amount of hedging set j, calculated in accordance with paragraph 80.</w:t>
      </w:r>
    </w:p>
    <w:p w14:paraId="457368A4" w14:textId="24328C03" w:rsidR="00827505" w:rsidRPr="00B85E4D" w:rsidRDefault="00B80E91" w:rsidP="00827505">
      <w:pPr>
        <w:tabs>
          <w:tab w:val="left" w:pos="1092"/>
        </w:tabs>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80.</w:t>
      </w:r>
      <w:r w:rsidRPr="00B85E4D">
        <w:rPr>
          <w:rFonts w:cs="Times New Roman"/>
          <w:sz w:val="24"/>
          <w:szCs w:val="24"/>
          <w:lang w:val="en-GB"/>
        </w:rPr>
        <w:t xml:space="preserve"> </w:t>
      </w:r>
      <w:proofErr w:type="gramStart"/>
      <w:r w:rsidRPr="00B85E4D">
        <w:rPr>
          <w:rFonts w:cs="Times New Roman"/>
          <w:sz w:val="24"/>
          <w:szCs w:val="24"/>
          <w:lang w:val="en-GB"/>
        </w:rPr>
        <w:t>For the purpose of</w:t>
      </w:r>
      <w:proofErr w:type="gramEnd"/>
      <w:r w:rsidR="00827505" w:rsidRPr="00B85E4D">
        <w:rPr>
          <w:rFonts w:cs="Times New Roman"/>
          <w:sz w:val="24"/>
          <w:szCs w:val="24"/>
          <w:lang w:val="en-GB"/>
        </w:rPr>
        <w:t xml:space="preserve"> calculat</w:t>
      </w:r>
      <w:r w:rsidRPr="00B85E4D">
        <w:rPr>
          <w:rFonts w:cs="Times New Roman"/>
          <w:sz w:val="24"/>
          <w:szCs w:val="24"/>
          <w:lang w:val="en-GB"/>
        </w:rPr>
        <w:t>ing</w:t>
      </w:r>
      <w:r w:rsidR="00827505" w:rsidRPr="00B85E4D">
        <w:rPr>
          <w:rFonts w:cs="Times New Roman"/>
          <w:sz w:val="24"/>
          <w:szCs w:val="24"/>
          <w:lang w:val="en-GB"/>
        </w:rPr>
        <w:t xml:space="preserve"> the effective notional amount of hedging set j, banks shall first map each transaction in the hedging set to the corresponding bucket in Table 2. This mapping shall be based on the end date of each transaction, determined in accordance with paragraph 72(1).</w:t>
      </w:r>
    </w:p>
    <w:p w14:paraId="5CD6E1A6" w14:textId="708BDD25" w:rsidR="00B80E91" w:rsidRPr="00B85E4D" w:rsidRDefault="00B80E91" w:rsidP="00B80E91">
      <w:pPr>
        <w:spacing w:after="0"/>
        <w:jc w:val="right"/>
        <w:rPr>
          <w:rFonts w:eastAsia="Times New Roman" w:cs="Times New Roman"/>
          <w:sz w:val="24"/>
          <w:szCs w:val="24"/>
          <w:lang w:val="en-GB" w:eastAsia="ro-MD"/>
        </w:rPr>
      </w:pPr>
      <w:r w:rsidRPr="00B85E4D">
        <w:rPr>
          <w:rFonts w:eastAsia="Times New Roman" w:cs="Times New Roman"/>
          <w:i/>
          <w:iCs/>
          <w:sz w:val="24"/>
          <w:szCs w:val="24"/>
          <w:lang w:val="en-GB" w:eastAsia="ro-MD"/>
        </w:rPr>
        <w:t>Table 2</w:t>
      </w:r>
    </w:p>
    <w:p w14:paraId="3A9B8D9F" w14:textId="77777777" w:rsidR="00B80E91" w:rsidRPr="00B85E4D" w:rsidRDefault="00B80E91" w:rsidP="00B80E91">
      <w:pPr>
        <w:spacing w:after="0"/>
        <w:jc w:val="right"/>
        <w:rPr>
          <w:rFonts w:eastAsia="Times New Roman" w:cs="Times New Roman"/>
          <w:sz w:val="24"/>
          <w:szCs w:val="24"/>
          <w:lang w:val="en-GB" w:eastAsia="ro-MD"/>
        </w:rPr>
      </w:pPr>
      <w:r w:rsidRPr="00B85E4D">
        <w:rPr>
          <w:rFonts w:eastAsia="Times New Roman" w:cs="Times New Roman"/>
          <w:sz w:val="24"/>
          <w:szCs w:val="24"/>
          <w:lang w:val="en-GB" w:eastAsia="ro-MD"/>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1329"/>
        <w:gridCol w:w="3340"/>
      </w:tblGrid>
      <w:tr w:rsidR="00B80E91" w:rsidRPr="00B85E4D" w14:paraId="3D38743A" w14:textId="77777777" w:rsidTr="000E535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94F150" w14:textId="64E05B17" w:rsidR="00B80E91" w:rsidRPr="00B85E4D" w:rsidRDefault="00B80E91" w:rsidP="00B80E91">
            <w:pPr>
              <w:spacing w:after="0"/>
              <w:jc w:val="center"/>
              <w:rPr>
                <w:rFonts w:eastAsia="Times New Roman" w:cs="Times New Roman"/>
                <w:b/>
                <w:bCs/>
                <w:sz w:val="24"/>
                <w:szCs w:val="24"/>
                <w:lang w:val="en-GB" w:eastAsia="ro-MD"/>
              </w:rPr>
            </w:pPr>
            <w:r w:rsidRPr="00B85E4D">
              <w:rPr>
                <w:rFonts w:eastAsia="Times New Roman" w:cs="Times New Roman"/>
                <w:b/>
                <w:bCs/>
                <w:sz w:val="24"/>
                <w:szCs w:val="24"/>
                <w:lang w:val="en-GB" w:eastAsia="ro-MD"/>
              </w:rPr>
              <w:t>Bucket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FA811F" w14:textId="698BBF34" w:rsidR="00B80E91" w:rsidRPr="00B85E4D" w:rsidRDefault="00B80E91" w:rsidP="00B80E91">
            <w:pPr>
              <w:spacing w:after="0"/>
              <w:jc w:val="center"/>
              <w:rPr>
                <w:rFonts w:eastAsia="Times New Roman" w:cs="Times New Roman"/>
                <w:b/>
                <w:bCs/>
                <w:sz w:val="24"/>
                <w:szCs w:val="24"/>
                <w:lang w:val="en-GB" w:eastAsia="ro-MD"/>
              </w:rPr>
            </w:pPr>
            <w:r w:rsidRPr="00B85E4D">
              <w:rPr>
                <w:rFonts w:eastAsia="Times New Roman" w:cs="Times New Roman"/>
                <w:b/>
                <w:bCs/>
                <w:sz w:val="24"/>
                <w:szCs w:val="24"/>
                <w:lang w:val="en-GB" w:eastAsia="ro-MD"/>
              </w:rPr>
              <w:t>End date (in years)</w:t>
            </w:r>
          </w:p>
        </w:tc>
      </w:tr>
      <w:tr w:rsidR="00B80E91" w:rsidRPr="00B85E4D" w14:paraId="45ECA34A" w14:textId="77777777" w:rsidTr="000E535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FB98D" w14:textId="77777777" w:rsidR="00B80E91" w:rsidRPr="00B85E4D" w:rsidRDefault="00B80E91" w:rsidP="00B80E91">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E1FF3" w14:textId="3AC2A8F8" w:rsidR="00B80E91" w:rsidRPr="00B85E4D" w:rsidRDefault="00B80E91" w:rsidP="00B80E91">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&gt;0 and &lt;=1</w:t>
            </w:r>
          </w:p>
        </w:tc>
      </w:tr>
      <w:tr w:rsidR="00B80E91" w:rsidRPr="00B85E4D" w14:paraId="09718552" w14:textId="77777777" w:rsidTr="000E535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2B05" w14:textId="77777777" w:rsidR="00B80E91" w:rsidRPr="00B85E4D" w:rsidRDefault="00B80E91" w:rsidP="00B80E91">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C3030" w14:textId="2A9917BB" w:rsidR="00B80E91" w:rsidRPr="00B85E4D" w:rsidRDefault="00B80E91" w:rsidP="00B80E91">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&gt;1 and &lt;= 5</w:t>
            </w:r>
          </w:p>
        </w:tc>
      </w:tr>
      <w:tr w:rsidR="00B80E91" w:rsidRPr="00B85E4D" w14:paraId="572B1728" w14:textId="77777777" w:rsidTr="000E535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45322" w14:textId="77777777" w:rsidR="00B80E91" w:rsidRPr="00B85E4D" w:rsidRDefault="00B80E91" w:rsidP="00B80E91">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2FF9" w14:textId="77777777" w:rsidR="00B80E91" w:rsidRPr="00B85E4D" w:rsidRDefault="00B80E91" w:rsidP="00B80E91">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&gt; 5</w:t>
            </w:r>
          </w:p>
        </w:tc>
      </w:tr>
    </w:tbl>
    <w:p w14:paraId="4BACFEC1" w14:textId="77777777" w:rsidR="00B80E91" w:rsidRPr="00B85E4D" w:rsidRDefault="00B80E91" w:rsidP="00827505">
      <w:pPr>
        <w:tabs>
          <w:tab w:val="left" w:pos="1092"/>
        </w:tabs>
        <w:rPr>
          <w:lang w:val="en-GB"/>
        </w:rPr>
      </w:pPr>
    </w:p>
    <w:p w14:paraId="41F93532" w14:textId="5B3DD644" w:rsidR="00B80E91" w:rsidRPr="00B85E4D" w:rsidRDefault="00B80E91" w:rsidP="00827505">
      <w:pPr>
        <w:tabs>
          <w:tab w:val="left" w:pos="1092"/>
        </w:tabs>
        <w:rPr>
          <w:lang w:val="en-GB"/>
        </w:rPr>
      </w:pPr>
      <w:r w:rsidRPr="00B85E4D">
        <w:rPr>
          <w:lang w:val="en-GB"/>
        </w:rPr>
        <w:t>B</w:t>
      </w:r>
      <w:r w:rsidR="00CE128B">
        <w:rPr>
          <w:lang w:val="en-GB"/>
        </w:rPr>
        <w:t>an</w:t>
      </w:r>
      <w:r w:rsidRPr="00B85E4D">
        <w:rPr>
          <w:lang w:val="en-GB"/>
        </w:rPr>
        <w:t xml:space="preserve">ks shall then calculate the effective notional amount of hedging set </w:t>
      </w:r>
      <w:r w:rsidRPr="00B85E4D">
        <w:rPr>
          <w:rStyle w:val="Emphasis"/>
          <w:lang w:val="en-GB"/>
        </w:rPr>
        <w:t>j</w:t>
      </w:r>
      <w:r w:rsidRPr="00B85E4D">
        <w:rPr>
          <w:lang w:val="en-GB"/>
        </w:rPr>
        <w:t xml:space="preserve"> in accordance with the following formula:</w:t>
      </w:r>
    </w:p>
    <w:p w14:paraId="543F2381" w14:textId="1541E854" w:rsidR="00B80E91" w:rsidRPr="00B85E4D" w:rsidRDefault="00B80E91" w:rsidP="00B80E91">
      <w:pPr>
        <w:tabs>
          <w:tab w:val="left" w:pos="1092"/>
        </w:tabs>
        <w:jc w:val="center"/>
        <w:rPr>
          <w:rFonts w:eastAsia="Times New Roman" w:cs="Times New Roman"/>
          <w:noProof/>
          <w:sz w:val="24"/>
          <w:szCs w:val="24"/>
          <w:lang w:val="en-GB" w:eastAsia="ro-MD"/>
        </w:rPr>
      </w:pPr>
      <w:r w:rsidRPr="00B85E4D">
        <w:rPr>
          <w:rFonts w:eastAsia="Times New Roman" w:cs="Times New Roman"/>
          <w:noProof/>
          <w:sz w:val="24"/>
          <w:szCs w:val="24"/>
          <w:lang w:val="en-GB" w:eastAsia="ro-MD"/>
        </w:rPr>
        <w:drawing>
          <wp:inline distT="0" distB="0" distL="0" distR="0" wp14:anchorId="1C7A978A" wp14:editId="1DD14A7A">
            <wp:extent cx="5939790" cy="435563"/>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435563"/>
                    </a:xfrm>
                    <a:prstGeom prst="rect">
                      <a:avLst/>
                    </a:prstGeom>
                    <a:noFill/>
                    <a:ln>
                      <a:noFill/>
                    </a:ln>
                  </pic:spPr>
                </pic:pic>
              </a:graphicData>
            </a:graphic>
          </wp:inline>
        </w:drawing>
      </w:r>
    </w:p>
    <w:p w14:paraId="66032C20" w14:textId="77777777" w:rsidR="00B80E91" w:rsidRPr="00B85E4D" w:rsidRDefault="00B80E91" w:rsidP="00B80E91">
      <w:pPr>
        <w:rPr>
          <w:lang w:val="en-GB"/>
        </w:rPr>
      </w:pPr>
      <w:r w:rsidRPr="00B85E4D">
        <w:rPr>
          <w:lang w:val="en-GB"/>
        </w:rPr>
        <w:t xml:space="preserve">where: </w:t>
      </w:r>
    </w:p>
    <w:p w14:paraId="531BE29C" w14:textId="4C257CF4" w:rsidR="00B80E91" w:rsidRPr="00B85E4D" w:rsidRDefault="00B80E91" w:rsidP="00B80E91">
      <w:pPr>
        <w:rPr>
          <w:lang w:val="en-GB"/>
        </w:rPr>
      </w:pPr>
      <w:proofErr w:type="spellStart"/>
      <w:r w:rsidRPr="00B85E4D">
        <w:rPr>
          <w:lang w:val="en-GB"/>
        </w:rPr>
        <w:t>EffNot</w:t>
      </w:r>
      <w:r w:rsidRPr="00B85E4D">
        <w:rPr>
          <w:vertAlign w:val="subscript"/>
          <w:lang w:val="en-GB"/>
        </w:rPr>
        <w:t>j</w:t>
      </w:r>
      <w:r w:rsidRPr="00B85E4D">
        <w:rPr>
          <w:vertAlign w:val="superscript"/>
          <w:lang w:val="en-GB"/>
        </w:rPr>
        <w:t>IR</w:t>
      </w:r>
      <w:proofErr w:type="spellEnd"/>
      <w:r w:rsidRPr="00B85E4D">
        <w:rPr>
          <w:lang w:val="en-GB"/>
        </w:rPr>
        <w:t xml:space="preserve"> = the effective notional amount of hedging set </w:t>
      </w:r>
      <w:proofErr w:type="gramStart"/>
      <w:r w:rsidRPr="00B85E4D">
        <w:rPr>
          <w:lang w:val="en-GB"/>
        </w:rPr>
        <w:t>j;</w:t>
      </w:r>
      <w:proofErr w:type="gramEnd"/>
      <w:r w:rsidRPr="00B85E4D">
        <w:rPr>
          <w:lang w:val="en-GB"/>
        </w:rPr>
        <w:t xml:space="preserve"> </w:t>
      </w:r>
    </w:p>
    <w:p w14:paraId="405BD394" w14:textId="22C0A237" w:rsidR="00B80E91" w:rsidRPr="00B85E4D" w:rsidRDefault="00B80E91" w:rsidP="00B80E91">
      <w:pPr>
        <w:rPr>
          <w:lang w:val="en-GB"/>
        </w:rPr>
      </w:pPr>
      <w:r w:rsidRPr="00B85E4D">
        <w:rPr>
          <w:lang w:val="en-GB"/>
        </w:rPr>
        <w:t xml:space="preserve">and </w:t>
      </w:r>
      <w:proofErr w:type="spellStart"/>
      <w:proofErr w:type="gramStart"/>
      <w:r w:rsidRPr="00B85E4D">
        <w:rPr>
          <w:lang w:val="en-GB"/>
        </w:rPr>
        <w:t>Dj,k</w:t>
      </w:r>
      <w:proofErr w:type="spellEnd"/>
      <w:proofErr w:type="gramEnd"/>
      <w:r w:rsidRPr="00B85E4D">
        <w:rPr>
          <w:lang w:val="en-GB"/>
        </w:rPr>
        <w:t xml:space="preserve"> = the effective notional amount of bucket k of hedging set j calculated as follows:</w:t>
      </w:r>
    </w:p>
    <w:p w14:paraId="05CB565A" w14:textId="64BC7403" w:rsidR="00B80E91" w:rsidRPr="00B85E4D" w:rsidRDefault="00B80E91" w:rsidP="00B80E91">
      <w:pPr>
        <w:jc w:val="center"/>
        <w:rPr>
          <w:lang w:val="en-GB"/>
        </w:rPr>
      </w:pPr>
      <w:r w:rsidRPr="00B85E4D">
        <w:rPr>
          <w:rFonts w:eastAsia="Times New Roman" w:cs="Times New Roman"/>
          <w:noProof/>
          <w:sz w:val="24"/>
          <w:szCs w:val="24"/>
          <w:lang w:val="en-GB" w:eastAsia="ro-MD"/>
        </w:rPr>
        <w:drawing>
          <wp:inline distT="0" distB="0" distL="0" distR="0" wp14:anchorId="2CBB9592" wp14:editId="3365CCE5">
            <wp:extent cx="2305050" cy="495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5050" cy="495300"/>
                    </a:xfrm>
                    <a:prstGeom prst="rect">
                      <a:avLst/>
                    </a:prstGeom>
                    <a:noFill/>
                    <a:ln>
                      <a:noFill/>
                    </a:ln>
                  </pic:spPr>
                </pic:pic>
              </a:graphicData>
            </a:graphic>
          </wp:inline>
        </w:drawing>
      </w:r>
    </w:p>
    <w:p w14:paraId="5E30905D" w14:textId="77777777" w:rsidR="00B80E91" w:rsidRPr="00B85E4D" w:rsidRDefault="00B80E91" w:rsidP="00B80E91">
      <w:pPr>
        <w:rPr>
          <w:lang w:val="en-GB"/>
        </w:rPr>
      </w:pPr>
    </w:p>
    <w:p w14:paraId="4AE56768" w14:textId="77777777" w:rsidR="00B80E91" w:rsidRPr="00B85E4D" w:rsidRDefault="00B80E91" w:rsidP="00B80E91">
      <w:pPr>
        <w:rPr>
          <w:lang w:val="en-GB"/>
        </w:rPr>
      </w:pPr>
      <w:r w:rsidRPr="00B85E4D">
        <w:rPr>
          <w:lang w:val="en-GB"/>
        </w:rPr>
        <w:t xml:space="preserve">where: </w:t>
      </w:r>
    </w:p>
    <w:p w14:paraId="2CFB973A" w14:textId="627DF2F9" w:rsidR="00B80E91" w:rsidRPr="00B85E4D" w:rsidRDefault="00B80E91" w:rsidP="00B80E91">
      <w:pPr>
        <w:rPr>
          <w:lang w:val="en-GB"/>
        </w:rPr>
      </w:pPr>
      <w:r w:rsidRPr="00B85E4D">
        <w:rPr>
          <w:lang w:val="en-GB"/>
        </w:rPr>
        <w:t>l = the index that denotes the risk position.</w:t>
      </w:r>
    </w:p>
    <w:p w14:paraId="53E5CDD1" w14:textId="77777777" w:rsidR="00B80E91" w:rsidRPr="00B85E4D" w:rsidRDefault="00B80E91" w:rsidP="00B80E91">
      <w:pPr>
        <w:rPr>
          <w:lang w:val="en-GB"/>
        </w:rPr>
      </w:pPr>
    </w:p>
    <w:p w14:paraId="2EE8CCC2" w14:textId="4F43C3A1" w:rsidR="00B80E91" w:rsidRPr="00B85E4D" w:rsidRDefault="00B80E91" w:rsidP="00B80E91">
      <w:pPr>
        <w:spacing w:after="0"/>
        <w:jc w:val="center"/>
        <w:outlineLvl w:val="1"/>
        <w:rPr>
          <w:rFonts w:eastAsia="Times New Roman" w:cs="Times New Roman"/>
          <w:i/>
          <w:iCs/>
          <w:sz w:val="24"/>
          <w:szCs w:val="24"/>
          <w:lang w:val="en-GB" w:eastAsia="ro-RO"/>
        </w:rPr>
      </w:pPr>
      <w:r w:rsidRPr="00B85E4D">
        <w:rPr>
          <w:rFonts w:eastAsia="Times New Roman" w:cs="Times New Roman"/>
          <w:i/>
          <w:iCs/>
          <w:sz w:val="24"/>
          <w:szCs w:val="24"/>
          <w:lang w:val="en-GB" w:eastAsia="ro-RO"/>
        </w:rPr>
        <w:t>Section</w:t>
      </w:r>
      <w:r w:rsidRPr="00B85E4D">
        <w:rPr>
          <w:rFonts w:eastAsia="Times New Roman" w:cs="Times New Roman"/>
          <w:i/>
          <w:iCs/>
          <w:sz w:val="36"/>
          <w:szCs w:val="36"/>
          <w:lang w:val="en-GB" w:eastAsia="ro-RO"/>
        </w:rPr>
        <w:t xml:space="preserve"> </w:t>
      </w:r>
      <w:r w:rsidRPr="00B85E4D">
        <w:rPr>
          <w:rFonts w:eastAsia="Times New Roman" w:cs="Times New Roman"/>
          <w:i/>
          <w:iCs/>
          <w:sz w:val="24"/>
          <w:szCs w:val="24"/>
          <w:lang w:val="en-GB" w:eastAsia="ro-RO"/>
        </w:rPr>
        <w:t>11</w:t>
      </w:r>
    </w:p>
    <w:p w14:paraId="5A3ACD7C" w14:textId="6B40C595" w:rsidR="00B80E91" w:rsidRPr="00B85E4D" w:rsidRDefault="00B80E91" w:rsidP="00B80E91">
      <w:pPr>
        <w:spacing w:after="0"/>
        <w:jc w:val="center"/>
        <w:outlineLvl w:val="1"/>
        <w:rPr>
          <w:rFonts w:eastAsia="Times New Roman" w:cs="Times New Roman"/>
          <w:b/>
          <w:bCs/>
          <w:sz w:val="24"/>
          <w:szCs w:val="24"/>
          <w:lang w:val="en-GB" w:eastAsia="ro-RO"/>
        </w:rPr>
      </w:pPr>
      <w:r w:rsidRPr="00B85E4D">
        <w:rPr>
          <w:rFonts w:eastAsia="Times New Roman" w:cs="Times New Roman"/>
          <w:b/>
          <w:bCs/>
          <w:sz w:val="24"/>
          <w:szCs w:val="24"/>
          <w:lang w:val="en-GB" w:eastAsia="ro-RO"/>
        </w:rPr>
        <w:t>Foreign exchange risk category</w:t>
      </w:r>
      <w:r w:rsidRPr="00B85E4D">
        <w:rPr>
          <w:rFonts w:eastAsia="Times New Roman" w:cs="Times New Roman"/>
          <w:b/>
          <w:bCs/>
          <w:sz w:val="36"/>
          <w:szCs w:val="36"/>
          <w:lang w:val="en-GB" w:eastAsia="ro-RO"/>
        </w:rPr>
        <w:t xml:space="preserve"> </w:t>
      </w:r>
      <w:r w:rsidRPr="00B85E4D">
        <w:rPr>
          <w:rFonts w:eastAsia="Times New Roman" w:cs="Times New Roman"/>
          <w:b/>
          <w:bCs/>
          <w:sz w:val="24"/>
          <w:szCs w:val="24"/>
          <w:lang w:val="en-GB" w:eastAsia="ro-RO"/>
        </w:rPr>
        <w:t>add-on</w:t>
      </w:r>
    </w:p>
    <w:p w14:paraId="56B38724" w14:textId="541F1FF4" w:rsidR="00B80E91" w:rsidRPr="00B85E4D" w:rsidRDefault="00B80E91" w:rsidP="00B80E91">
      <w:pPr>
        <w:spacing w:before="100" w:beforeAutospacing="1" w:after="100" w:afterAutospacing="1"/>
        <w:ind w:firstLine="708"/>
        <w:rPr>
          <w:rFonts w:eastAsia="Times New Roman" w:cs="Times New Roman"/>
          <w:sz w:val="24"/>
          <w:szCs w:val="24"/>
          <w:lang w:val="en-GB" w:eastAsia="ro-RO"/>
        </w:rPr>
      </w:pPr>
      <w:r w:rsidRPr="00B85E4D">
        <w:rPr>
          <w:rFonts w:eastAsia="Times New Roman" w:cs="Times New Roman"/>
          <w:b/>
          <w:bCs/>
          <w:sz w:val="24"/>
          <w:szCs w:val="24"/>
          <w:lang w:val="en-GB" w:eastAsia="ro-RO"/>
        </w:rPr>
        <w:lastRenderedPageBreak/>
        <w:t>81.</w:t>
      </w:r>
      <w:r w:rsidRPr="00B85E4D">
        <w:rPr>
          <w:rFonts w:eastAsia="Times New Roman" w:cs="Times New Roman"/>
          <w:sz w:val="24"/>
          <w:szCs w:val="24"/>
          <w:lang w:val="en-GB" w:eastAsia="ro-RO"/>
        </w:rPr>
        <w:t xml:space="preserve"> For the purposes of Article 278, banks shall calculate the foreign exchange (FX) risk category add-on for a given netting set as follows:</w:t>
      </w:r>
    </w:p>
    <w:p w14:paraId="03C64039" w14:textId="09F81C99" w:rsidR="00B80E91" w:rsidRPr="00B85E4D" w:rsidRDefault="00B80E91" w:rsidP="00B80E91">
      <w:pPr>
        <w:jc w:val="center"/>
        <w:rPr>
          <w:lang w:val="en-GB"/>
        </w:rPr>
      </w:pPr>
      <w:r w:rsidRPr="00B85E4D">
        <w:rPr>
          <w:rFonts w:eastAsia="Times New Roman" w:cs="Times New Roman"/>
          <w:noProof/>
          <w:sz w:val="24"/>
          <w:szCs w:val="24"/>
          <w:lang w:val="en-GB" w:eastAsia="ro-MD"/>
        </w:rPr>
        <w:drawing>
          <wp:inline distT="0" distB="0" distL="0" distR="0" wp14:anchorId="0E6DCF02" wp14:editId="25AB46C3">
            <wp:extent cx="2362200" cy="571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2200" cy="571500"/>
                    </a:xfrm>
                    <a:prstGeom prst="rect">
                      <a:avLst/>
                    </a:prstGeom>
                    <a:noFill/>
                    <a:ln>
                      <a:noFill/>
                    </a:ln>
                  </pic:spPr>
                </pic:pic>
              </a:graphicData>
            </a:graphic>
          </wp:inline>
        </w:drawing>
      </w:r>
    </w:p>
    <w:p w14:paraId="17D956A3" w14:textId="3C7A57A2" w:rsidR="00D72DC8" w:rsidRPr="00B85E4D" w:rsidRDefault="00D72DC8" w:rsidP="00D72DC8">
      <w:pPr>
        <w:spacing w:after="0"/>
        <w:ind w:firstLine="567"/>
        <w:jc w:val="both"/>
        <w:rPr>
          <w:rFonts w:eastAsia="Times New Roman" w:cs="Times New Roman"/>
          <w:sz w:val="24"/>
          <w:szCs w:val="24"/>
          <w:lang w:val="en-GB" w:eastAsia="ro-MD"/>
        </w:rPr>
      </w:pPr>
      <w:r w:rsidRPr="00B85E4D">
        <w:rPr>
          <w:rFonts w:eastAsia="Times New Roman" w:cs="Times New Roman"/>
          <w:sz w:val="24"/>
          <w:szCs w:val="24"/>
          <w:lang w:val="en-GB" w:eastAsia="ro-MD"/>
        </w:rPr>
        <w:t>where:</w:t>
      </w:r>
    </w:p>
    <w:p w14:paraId="07DD5D7F" w14:textId="6D63E1D0" w:rsidR="00D72DC8" w:rsidRPr="00B85E4D" w:rsidRDefault="00D72DC8" w:rsidP="00D72DC8">
      <w:pPr>
        <w:spacing w:after="0"/>
        <w:ind w:firstLine="567"/>
        <w:jc w:val="both"/>
        <w:rPr>
          <w:rFonts w:eastAsia="Times New Roman" w:cs="Times New Roman"/>
          <w:sz w:val="24"/>
          <w:szCs w:val="24"/>
          <w:lang w:val="en-GB" w:eastAsia="ro-MD"/>
        </w:rPr>
      </w:pPr>
      <w:proofErr w:type="spellStart"/>
      <w:r w:rsidRPr="00B85E4D">
        <w:rPr>
          <w:rFonts w:eastAsia="Times New Roman" w:cs="Times New Roman"/>
          <w:sz w:val="24"/>
          <w:szCs w:val="24"/>
          <w:lang w:val="en-GB" w:eastAsia="ro-MD"/>
        </w:rPr>
        <w:t>AddOn</w:t>
      </w:r>
      <w:r w:rsidRPr="00B85E4D">
        <w:rPr>
          <w:rFonts w:eastAsia="Times New Roman" w:cs="Times New Roman"/>
          <w:sz w:val="24"/>
          <w:szCs w:val="24"/>
          <w:vertAlign w:val="superscript"/>
          <w:lang w:val="en-GB" w:eastAsia="ro-MD"/>
        </w:rPr>
        <w:t>FX</w:t>
      </w:r>
      <w:proofErr w:type="spellEnd"/>
      <w:r w:rsidRPr="00B85E4D">
        <w:rPr>
          <w:rFonts w:eastAsia="Times New Roman" w:cs="Times New Roman"/>
          <w:sz w:val="24"/>
          <w:szCs w:val="24"/>
          <w:lang w:val="en-GB" w:eastAsia="ro-MD"/>
        </w:rPr>
        <w:t xml:space="preserve"> = </w:t>
      </w:r>
      <w:r w:rsidRPr="00B85E4D">
        <w:rPr>
          <w:sz w:val="24"/>
          <w:szCs w:val="24"/>
          <w:lang w:val="en-GB"/>
        </w:rPr>
        <w:t xml:space="preserve">the foreign exchange risk category </w:t>
      </w:r>
      <w:proofErr w:type="gramStart"/>
      <w:r w:rsidRPr="00B85E4D">
        <w:rPr>
          <w:sz w:val="24"/>
          <w:szCs w:val="24"/>
          <w:lang w:val="en-GB"/>
        </w:rPr>
        <w:t>add</w:t>
      </w:r>
      <w:proofErr w:type="gramEnd"/>
      <w:r w:rsidRPr="00B85E4D">
        <w:rPr>
          <w:sz w:val="24"/>
          <w:szCs w:val="24"/>
          <w:lang w:val="en-GB"/>
        </w:rPr>
        <w:t xml:space="preserve"> on</w:t>
      </w:r>
      <w:r w:rsidRPr="00B85E4D">
        <w:rPr>
          <w:rFonts w:eastAsia="Times New Roman" w:cs="Times New Roman"/>
          <w:sz w:val="24"/>
          <w:szCs w:val="24"/>
          <w:lang w:val="en-GB" w:eastAsia="ro-MD"/>
        </w:rPr>
        <w:t>;</w:t>
      </w:r>
    </w:p>
    <w:p w14:paraId="5258800B" w14:textId="4A46226B" w:rsidR="00D72DC8" w:rsidRPr="00B85E4D" w:rsidRDefault="00D72DC8" w:rsidP="00D72DC8">
      <w:pPr>
        <w:spacing w:after="0"/>
        <w:ind w:firstLine="567"/>
        <w:jc w:val="both"/>
        <w:rPr>
          <w:rFonts w:eastAsia="Times New Roman" w:cs="Times New Roman"/>
          <w:sz w:val="24"/>
          <w:szCs w:val="24"/>
          <w:lang w:val="en-GB" w:eastAsia="ro-MD"/>
        </w:rPr>
      </w:pPr>
      <w:r w:rsidRPr="00B85E4D">
        <w:rPr>
          <w:rFonts w:eastAsia="Times New Roman" w:cs="Times New Roman"/>
          <w:sz w:val="24"/>
          <w:szCs w:val="24"/>
          <w:lang w:val="en-GB" w:eastAsia="ro-MD"/>
        </w:rPr>
        <w:t xml:space="preserve">j = </w:t>
      </w:r>
      <w:r w:rsidRPr="00B85E4D">
        <w:rPr>
          <w:sz w:val="24"/>
          <w:szCs w:val="24"/>
          <w:lang w:val="en-GB"/>
        </w:rPr>
        <w:t xml:space="preserve">the index that denotes the foreign exchange risk hedging sets established in accordance with </w:t>
      </w:r>
      <w:r w:rsidRPr="00B85E4D">
        <w:rPr>
          <w:rFonts w:eastAsia="Times New Roman" w:cs="Times New Roman"/>
          <w:sz w:val="24"/>
          <w:szCs w:val="24"/>
          <w:lang w:val="en-GB" w:eastAsia="ro-MD"/>
        </w:rPr>
        <w:t xml:space="preserve">paragraph 59 subparagraph 59.2. </w:t>
      </w:r>
      <w:proofErr w:type="spellStart"/>
      <w:r w:rsidRPr="00B85E4D">
        <w:rPr>
          <w:rFonts w:eastAsia="Times New Roman" w:cs="Times New Roman"/>
          <w:sz w:val="24"/>
          <w:szCs w:val="24"/>
          <w:lang w:val="en-GB" w:eastAsia="ro-MD"/>
        </w:rPr>
        <w:t>şi</w:t>
      </w:r>
      <w:proofErr w:type="spellEnd"/>
      <w:r w:rsidRPr="00B85E4D">
        <w:rPr>
          <w:rFonts w:eastAsia="Times New Roman" w:cs="Times New Roman"/>
          <w:sz w:val="24"/>
          <w:szCs w:val="24"/>
          <w:lang w:val="en-GB" w:eastAsia="ro-MD"/>
        </w:rPr>
        <w:t xml:space="preserve"> cu paragraph 61-64 for the netting set; and</w:t>
      </w:r>
    </w:p>
    <w:p w14:paraId="2834F499" w14:textId="1B9293D2" w:rsidR="00D72DC8" w:rsidRPr="00B85E4D" w:rsidRDefault="00D72DC8" w:rsidP="00D72DC8">
      <w:pPr>
        <w:spacing w:after="0"/>
        <w:ind w:firstLine="567"/>
        <w:jc w:val="both"/>
        <w:rPr>
          <w:rFonts w:eastAsia="Times New Roman" w:cs="Times New Roman"/>
          <w:sz w:val="24"/>
          <w:szCs w:val="24"/>
          <w:lang w:val="en-GB" w:eastAsia="ro-MD"/>
        </w:rPr>
      </w:pPr>
      <w:proofErr w:type="spellStart"/>
      <w:r w:rsidRPr="00B85E4D">
        <w:rPr>
          <w:rFonts w:eastAsia="Times New Roman" w:cs="Times New Roman"/>
          <w:sz w:val="24"/>
          <w:szCs w:val="24"/>
          <w:lang w:val="en-GB" w:eastAsia="ro-MD"/>
        </w:rPr>
        <w:t>AddOn</w:t>
      </w:r>
      <w:r w:rsidRPr="00B85E4D">
        <w:rPr>
          <w:rFonts w:eastAsia="Times New Roman" w:cs="Times New Roman"/>
          <w:sz w:val="24"/>
          <w:szCs w:val="24"/>
          <w:vertAlign w:val="subscript"/>
          <w:lang w:val="en-GB" w:eastAsia="ro-MD"/>
        </w:rPr>
        <w:t>j</w:t>
      </w:r>
      <w:r w:rsidRPr="00B85E4D">
        <w:rPr>
          <w:rFonts w:eastAsia="Times New Roman" w:cs="Times New Roman"/>
          <w:sz w:val="24"/>
          <w:szCs w:val="24"/>
          <w:vertAlign w:val="superscript"/>
          <w:lang w:val="en-GB" w:eastAsia="ro-MD"/>
        </w:rPr>
        <w:t>FX</w:t>
      </w:r>
      <w:proofErr w:type="spellEnd"/>
      <w:r w:rsidRPr="00B85E4D">
        <w:rPr>
          <w:rFonts w:eastAsia="Times New Roman" w:cs="Times New Roman"/>
          <w:sz w:val="24"/>
          <w:szCs w:val="24"/>
          <w:lang w:val="en-GB" w:eastAsia="ro-MD"/>
        </w:rPr>
        <w:t xml:space="preserve"> = </w:t>
      </w:r>
      <w:r w:rsidRPr="00B85E4D">
        <w:rPr>
          <w:sz w:val="24"/>
          <w:szCs w:val="24"/>
          <w:lang w:val="en-GB"/>
        </w:rPr>
        <w:t>the foreign exchange risk category add-on for hedging set j calculated in accordance with paragraph</w:t>
      </w:r>
      <w:r w:rsidRPr="00B85E4D">
        <w:rPr>
          <w:rFonts w:eastAsia="Times New Roman" w:cs="Times New Roman"/>
          <w:sz w:val="24"/>
          <w:szCs w:val="24"/>
          <w:lang w:val="en-GB" w:eastAsia="ro-MD"/>
        </w:rPr>
        <w:t xml:space="preserve"> 82.</w:t>
      </w:r>
    </w:p>
    <w:p w14:paraId="129859D1" w14:textId="46E3A55E" w:rsidR="00D72DC8" w:rsidRPr="00B85E4D" w:rsidRDefault="00D72DC8" w:rsidP="00D72DC8">
      <w:pPr>
        <w:spacing w:after="0"/>
        <w:ind w:firstLine="567"/>
        <w:jc w:val="both"/>
        <w:rPr>
          <w:rFonts w:eastAsia="Times New Roman" w:cs="Times New Roman"/>
          <w:sz w:val="24"/>
          <w:szCs w:val="24"/>
          <w:lang w:val="en-GB" w:eastAsia="ro-MD"/>
        </w:rPr>
      </w:pPr>
      <w:r w:rsidRPr="00B85E4D">
        <w:rPr>
          <w:rFonts w:eastAsia="Times New Roman" w:cs="Times New Roman"/>
          <w:b/>
          <w:bCs/>
          <w:sz w:val="24"/>
          <w:szCs w:val="24"/>
          <w:lang w:val="en-GB" w:eastAsia="ro-MD"/>
        </w:rPr>
        <w:t>82.</w:t>
      </w:r>
      <w:r w:rsidRPr="00B85E4D">
        <w:rPr>
          <w:rFonts w:eastAsia="Times New Roman" w:cs="Times New Roman"/>
          <w:sz w:val="24"/>
          <w:szCs w:val="24"/>
          <w:lang w:val="en-GB" w:eastAsia="ro-MD"/>
        </w:rPr>
        <w:t xml:space="preserve"> Banks </w:t>
      </w:r>
      <w:r w:rsidRPr="00B85E4D">
        <w:rPr>
          <w:sz w:val="24"/>
          <w:szCs w:val="24"/>
          <w:lang w:val="en-GB"/>
        </w:rPr>
        <w:t>shall calculate the foreign exchange risk category add-on for hedging set j as follows</w:t>
      </w:r>
      <w:r w:rsidRPr="00B85E4D">
        <w:rPr>
          <w:rFonts w:eastAsia="Times New Roman" w:cs="Times New Roman"/>
          <w:sz w:val="24"/>
          <w:szCs w:val="24"/>
          <w:lang w:val="en-GB" w:eastAsia="ro-MD"/>
        </w:rPr>
        <w:t>:</w:t>
      </w:r>
    </w:p>
    <w:p w14:paraId="2C964402" w14:textId="5006B786" w:rsidR="00D72DC8" w:rsidRPr="00B85E4D" w:rsidRDefault="00D72DC8" w:rsidP="00D72DC8">
      <w:pPr>
        <w:jc w:val="center"/>
        <w:rPr>
          <w:lang w:val="en-GB"/>
        </w:rPr>
      </w:pPr>
      <w:r w:rsidRPr="00B85E4D">
        <w:rPr>
          <w:rFonts w:eastAsia="Times New Roman" w:cs="Times New Roman"/>
          <w:noProof/>
          <w:sz w:val="24"/>
          <w:szCs w:val="24"/>
          <w:lang w:val="en-GB" w:eastAsia="ro-MD"/>
        </w:rPr>
        <w:drawing>
          <wp:inline distT="0" distB="0" distL="0" distR="0" wp14:anchorId="2CBB8206" wp14:editId="3077DAB3">
            <wp:extent cx="3371850" cy="438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438150"/>
                    </a:xfrm>
                    <a:prstGeom prst="rect">
                      <a:avLst/>
                    </a:prstGeom>
                    <a:noFill/>
                    <a:ln>
                      <a:noFill/>
                    </a:ln>
                  </pic:spPr>
                </pic:pic>
              </a:graphicData>
            </a:graphic>
          </wp:inline>
        </w:drawing>
      </w:r>
    </w:p>
    <w:p w14:paraId="68F7AE87" w14:textId="77777777" w:rsidR="00D72DC8" w:rsidRPr="00B85E4D" w:rsidRDefault="00D72DC8" w:rsidP="00D72DC8">
      <w:pPr>
        <w:rPr>
          <w:lang w:val="en-GB"/>
        </w:rPr>
      </w:pPr>
    </w:p>
    <w:p w14:paraId="56EB4587" w14:textId="77777777" w:rsidR="00D72DC8" w:rsidRPr="00B85E4D" w:rsidRDefault="00D72DC8" w:rsidP="00D72DC8">
      <w:pPr>
        <w:tabs>
          <w:tab w:val="left" w:pos="502"/>
        </w:tabs>
        <w:rPr>
          <w:lang w:val="en-GB"/>
        </w:rPr>
      </w:pPr>
      <w:r w:rsidRPr="00B85E4D">
        <w:rPr>
          <w:lang w:val="en-GB"/>
        </w:rPr>
        <w:tab/>
      </w:r>
      <w:proofErr w:type="spellStart"/>
      <w:r w:rsidRPr="00B85E4D">
        <w:rPr>
          <w:lang w:val="en-GB"/>
        </w:rPr>
        <w:t>єj</w:t>
      </w:r>
      <w:proofErr w:type="spellEnd"/>
      <w:r w:rsidRPr="00B85E4D">
        <w:rPr>
          <w:lang w:val="en-GB"/>
        </w:rPr>
        <w:t xml:space="preserve"> = the hedging set supervisory factor coefficient of hedging set j determined in accordance with Article </w:t>
      </w:r>
      <w:proofErr w:type="gramStart"/>
      <w:r w:rsidRPr="00B85E4D">
        <w:rPr>
          <w:lang w:val="en-GB"/>
        </w:rPr>
        <w:t>280;</w:t>
      </w:r>
      <w:proofErr w:type="gramEnd"/>
      <w:r w:rsidRPr="00B85E4D">
        <w:rPr>
          <w:lang w:val="en-GB"/>
        </w:rPr>
        <w:t xml:space="preserve"> </w:t>
      </w:r>
    </w:p>
    <w:p w14:paraId="5251718C" w14:textId="77777777" w:rsidR="00D72DC8" w:rsidRPr="00B85E4D" w:rsidRDefault="00D72DC8" w:rsidP="00D72DC8">
      <w:pPr>
        <w:tabs>
          <w:tab w:val="left" w:pos="502"/>
        </w:tabs>
        <w:rPr>
          <w:lang w:val="en-GB"/>
        </w:rPr>
      </w:pPr>
      <w:r w:rsidRPr="00B85E4D">
        <w:rPr>
          <w:lang w:val="en-GB"/>
        </w:rPr>
        <w:t>SF</w:t>
      </w:r>
      <w:r w:rsidRPr="00B85E4D">
        <w:rPr>
          <w:vertAlign w:val="superscript"/>
          <w:lang w:val="en-GB"/>
        </w:rPr>
        <w:t xml:space="preserve">FX </w:t>
      </w:r>
      <w:r w:rsidRPr="00B85E4D">
        <w:rPr>
          <w:lang w:val="en-GB"/>
        </w:rPr>
        <w:t xml:space="preserve">= the supervisory factor for the foreign exchange risk category with a value equal to </w:t>
      </w:r>
      <w:proofErr w:type="gramStart"/>
      <w:r w:rsidRPr="00B85E4D">
        <w:rPr>
          <w:lang w:val="en-GB"/>
        </w:rPr>
        <w:t>4 %;</w:t>
      </w:r>
      <w:proofErr w:type="gramEnd"/>
      <w:r w:rsidRPr="00B85E4D">
        <w:rPr>
          <w:lang w:val="en-GB"/>
        </w:rPr>
        <w:t xml:space="preserve"> </w:t>
      </w:r>
    </w:p>
    <w:p w14:paraId="79E171B3" w14:textId="0FAFC2A5" w:rsidR="00D72DC8" w:rsidRPr="00B85E4D" w:rsidRDefault="00D72DC8" w:rsidP="00D72DC8">
      <w:pPr>
        <w:tabs>
          <w:tab w:val="left" w:pos="502"/>
        </w:tabs>
        <w:rPr>
          <w:lang w:val="en-GB"/>
        </w:rPr>
      </w:pPr>
      <w:proofErr w:type="spellStart"/>
      <w:r w:rsidRPr="00B85E4D">
        <w:rPr>
          <w:lang w:val="en-GB"/>
        </w:rPr>
        <w:t>EffNot</w:t>
      </w:r>
      <w:r w:rsidRPr="00B85E4D">
        <w:rPr>
          <w:vertAlign w:val="subscript"/>
          <w:lang w:val="en-GB"/>
        </w:rPr>
        <w:t>j</w:t>
      </w:r>
      <w:r w:rsidRPr="00B85E4D">
        <w:rPr>
          <w:vertAlign w:val="superscript"/>
          <w:lang w:val="en-GB"/>
        </w:rPr>
        <w:t>FX</w:t>
      </w:r>
      <w:proofErr w:type="spellEnd"/>
      <w:r w:rsidRPr="00B85E4D">
        <w:rPr>
          <w:lang w:val="en-GB"/>
        </w:rPr>
        <w:t xml:space="preserve"> = the effective notional amount of hedging set j calculated as follows:</w:t>
      </w:r>
    </w:p>
    <w:p w14:paraId="7ADBC30E" w14:textId="1091EC09" w:rsidR="00D72DC8" w:rsidRPr="00B85E4D" w:rsidRDefault="00D72DC8" w:rsidP="00D72DC8">
      <w:pPr>
        <w:tabs>
          <w:tab w:val="left" w:pos="502"/>
        </w:tabs>
        <w:jc w:val="center"/>
        <w:rPr>
          <w:lang w:val="en-GB"/>
        </w:rPr>
      </w:pPr>
      <w:r w:rsidRPr="00B85E4D">
        <w:rPr>
          <w:noProof/>
          <w:lang w:val="en-GB"/>
        </w:rPr>
        <w:drawing>
          <wp:inline distT="0" distB="0" distL="0" distR="0" wp14:anchorId="4918BEB4" wp14:editId="2826F980">
            <wp:extent cx="2971800" cy="551487"/>
            <wp:effectExtent l="0" t="0" r="0" b="1270"/>
            <wp:docPr id="78211538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15386" name=""/>
                    <pic:cNvPicPr/>
                  </pic:nvPicPr>
                  <pic:blipFill>
                    <a:blip r:embed="rId25"/>
                    <a:stretch>
                      <a:fillRect/>
                    </a:stretch>
                  </pic:blipFill>
                  <pic:spPr>
                    <a:xfrm>
                      <a:off x="0" y="0"/>
                      <a:ext cx="2973264" cy="551759"/>
                    </a:xfrm>
                    <a:prstGeom prst="rect">
                      <a:avLst/>
                    </a:prstGeom>
                  </pic:spPr>
                </pic:pic>
              </a:graphicData>
            </a:graphic>
          </wp:inline>
        </w:drawing>
      </w:r>
    </w:p>
    <w:p w14:paraId="715DB6B8" w14:textId="3B76CF65" w:rsidR="00D72DC8" w:rsidRPr="00B85E4D" w:rsidRDefault="00D72DC8" w:rsidP="00D72DC8">
      <w:pPr>
        <w:rPr>
          <w:lang w:val="en-GB"/>
        </w:rPr>
      </w:pPr>
      <w:r w:rsidRPr="00B85E4D">
        <w:rPr>
          <w:lang w:val="en-GB"/>
        </w:rPr>
        <w:t>where: l = the index that denotes the risk position.</w:t>
      </w:r>
    </w:p>
    <w:p w14:paraId="249BA8DF" w14:textId="77777777" w:rsidR="00D72DC8" w:rsidRPr="00B85E4D" w:rsidRDefault="00D72DC8" w:rsidP="00D72DC8">
      <w:pPr>
        <w:rPr>
          <w:lang w:val="en-GB"/>
        </w:rPr>
      </w:pPr>
    </w:p>
    <w:p w14:paraId="57FD33C4" w14:textId="4D56770E" w:rsidR="00D72DC8" w:rsidRPr="00503D92" w:rsidRDefault="00D72DC8" w:rsidP="00D72DC8">
      <w:pPr>
        <w:spacing w:after="0"/>
        <w:jc w:val="center"/>
        <w:rPr>
          <w:i/>
          <w:iCs/>
          <w:sz w:val="24"/>
          <w:szCs w:val="24"/>
          <w:lang w:val="en-GB"/>
        </w:rPr>
      </w:pPr>
      <w:r w:rsidRPr="00503D92">
        <w:rPr>
          <w:i/>
          <w:iCs/>
          <w:sz w:val="24"/>
          <w:szCs w:val="24"/>
          <w:lang w:val="en-GB"/>
        </w:rPr>
        <w:t>Section 12</w:t>
      </w:r>
    </w:p>
    <w:p w14:paraId="7DE43ECD" w14:textId="69714F75" w:rsidR="00D72DC8" w:rsidRPr="00503D92" w:rsidRDefault="00D72DC8" w:rsidP="00D72DC8">
      <w:pPr>
        <w:spacing w:after="0"/>
        <w:jc w:val="center"/>
        <w:rPr>
          <w:b/>
          <w:bCs/>
          <w:sz w:val="24"/>
          <w:szCs w:val="24"/>
          <w:lang w:val="en-GB"/>
        </w:rPr>
      </w:pPr>
      <w:r w:rsidRPr="00503D92">
        <w:rPr>
          <w:b/>
          <w:bCs/>
          <w:sz w:val="24"/>
          <w:szCs w:val="24"/>
          <w:lang w:val="en-GB"/>
        </w:rPr>
        <w:t xml:space="preserve">Credit risk category </w:t>
      </w:r>
      <w:proofErr w:type="gramStart"/>
      <w:r w:rsidRPr="00503D92">
        <w:rPr>
          <w:b/>
          <w:bCs/>
          <w:sz w:val="24"/>
          <w:szCs w:val="24"/>
          <w:lang w:val="en-GB"/>
        </w:rPr>
        <w:t>add-on</w:t>
      </w:r>
      <w:proofErr w:type="gramEnd"/>
    </w:p>
    <w:p w14:paraId="1475FB8D" w14:textId="77777777" w:rsidR="00D72DC8" w:rsidRPr="00B85E4D" w:rsidRDefault="00D72DC8" w:rsidP="00D72DC8">
      <w:pPr>
        <w:spacing w:after="0"/>
        <w:rPr>
          <w:b/>
          <w:bCs/>
          <w:lang w:val="en-GB"/>
        </w:rPr>
      </w:pPr>
    </w:p>
    <w:p w14:paraId="1ED3ABD1" w14:textId="391BE1BB" w:rsidR="00D72DC8" w:rsidRPr="00B85E4D" w:rsidRDefault="00D72DC8" w:rsidP="00D72DC8">
      <w:pPr>
        <w:spacing w:after="0"/>
        <w:ind w:firstLine="708"/>
        <w:jc w:val="both"/>
        <w:rPr>
          <w:sz w:val="24"/>
          <w:szCs w:val="24"/>
          <w:lang w:val="en-GB"/>
        </w:rPr>
      </w:pPr>
      <w:r w:rsidRPr="00B85E4D">
        <w:rPr>
          <w:b/>
          <w:bCs/>
          <w:sz w:val="24"/>
          <w:szCs w:val="24"/>
          <w:lang w:val="en-GB"/>
        </w:rPr>
        <w:t>83.</w:t>
      </w:r>
      <w:r w:rsidRPr="00B85E4D">
        <w:rPr>
          <w:sz w:val="24"/>
          <w:szCs w:val="24"/>
          <w:lang w:val="en-GB"/>
        </w:rPr>
        <w:t xml:space="preserve"> For the purposes of paragraph 84, banks shall establish the relevant credit reference entities of the netting </w:t>
      </w:r>
      <w:proofErr w:type="gramStart"/>
      <w:r w:rsidRPr="00B85E4D">
        <w:rPr>
          <w:sz w:val="24"/>
          <w:szCs w:val="24"/>
          <w:lang w:val="en-GB"/>
        </w:rPr>
        <w:t>set in</w:t>
      </w:r>
      <w:proofErr w:type="gramEnd"/>
      <w:r w:rsidRPr="00B85E4D">
        <w:rPr>
          <w:sz w:val="24"/>
          <w:szCs w:val="24"/>
          <w:lang w:val="en-GB"/>
        </w:rPr>
        <w:t xml:space="preserve"> accordance with the following:</w:t>
      </w:r>
    </w:p>
    <w:p w14:paraId="617DBD05" w14:textId="77777777" w:rsidR="00D72DC8" w:rsidRPr="00B85E4D" w:rsidRDefault="00D72DC8" w:rsidP="00D72DC8">
      <w:pPr>
        <w:spacing w:after="0"/>
        <w:ind w:firstLine="708"/>
        <w:jc w:val="both"/>
        <w:rPr>
          <w:sz w:val="24"/>
          <w:szCs w:val="24"/>
          <w:lang w:val="en-GB"/>
        </w:rPr>
      </w:pPr>
      <w:r w:rsidRPr="00B85E4D">
        <w:rPr>
          <w:sz w:val="24"/>
          <w:szCs w:val="24"/>
          <w:lang w:val="en-GB"/>
        </w:rPr>
        <w:t xml:space="preserve">83.1. here shall be one credit reference entity for each issuer of a reference debt instrument that underlies a single-name transaction allocated to the credit risk category; single-name transactions shall be assigned to the same credit reference entity only where the underlying reference debt instrument of those transactions is issued by the same </w:t>
      </w:r>
      <w:proofErr w:type="gramStart"/>
      <w:r w:rsidRPr="00B85E4D">
        <w:rPr>
          <w:sz w:val="24"/>
          <w:szCs w:val="24"/>
          <w:lang w:val="en-GB"/>
        </w:rPr>
        <w:t>issuer;</w:t>
      </w:r>
      <w:proofErr w:type="gramEnd"/>
      <w:r w:rsidRPr="00B85E4D">
        <w:rPr>
          <w:sz w:val="24"/>
          <w:szCs w:val="24"/>
          <w:lang w:val="en-GB"/>
        </w:rPr>
        <w:t xml:space="preserve"> </w:t>
      </w:r>
    </w:p>
    <w:p w14:paraId="7133DD71" w14:textId="77777777" w:rsidR="00D72DC8" w:rsidRPr="00B85E4D" w:rsidRDefault="00D72DC8" w:rsidP="00D72DC8">
      <w:pPr>
        <w:spacing w:after="0"/>
        <w:ind w:firstLine="708"/>
        <w:jc w:val="both"/>
        <w:rPr>
          <w:sz w:val="24"/>
          <w:szCs w:val="24"/>
          <w:lang w:val="en-GB"/>
        </w:rPr>
      </w:pPr>
      <w:r w:rsidRPr="00B85E4D">
        <w:rPr>
          <w:sz w:val="24"/>
          <w:szCs w:val="24"/>
          <w:lang w:val="en-GB"/>
        </w:rPr>
        <w:t>83.2. there shall be one credit reference entity for each group of reference debt instruments or single-name credit derivatives that underlie a multi-name transaction allocated to the credit risk category; multi-names transactions shall be assigned to the same credit reference entity only where the group of underlying reference debt</w:t>
      </w:r>
      <w:r w:rsidRPr="00B85E4D">
        <w:rPr>
          <w:lang w:val="en-GB"/>
        </w:rPr>
        <w:t xml:space="preserve"> </w:t>
      </w:r>
      <w:r w:rsidRPr="00B85E4D">
        <w:rPr>
          <w:sz w:val="24"/>
          <w:szCs w:val="24"/>
          <w:lang w:val="en-GB"/>
        </w:rPr>
        <w:t xml:space="preserve">instruments or single-name credit derivatives of those transactions have the same constituents. </w:t>
      </w:r>
    </w:p>
    <w:p w14:paraId="6A53CD49" w14:textId="33C81E1F" w:rsidR="00D72DC8" w:rsidRPr="00B85E4D" w:rsidRDefault="00D72DC8" w:rsidP="00D72DC8">
      <w:pPr>
        <w:spacing w:after="0"/>
        <w:ind w:firstLine="708"/>
        <w:jc w:val="both"/>
        <w:rPr>
          <w:sz w:val="24"/>
          <w:szCs w:val="24"/>
          <w:lang w:val="en-GB"/>
        </w:rPr>
      </w:pPr>
      <w:r w:rsidRPr="00B85E4D">
        <w:rPr>
          <w:b/>
          <w:bCs/>
          <w:sz w:val="24"/>
          <w:szCs w:val="24"/>
          <w:lang w:val="en-GB"/>
        </w:rPr>
        <w:t>84.</w:t>
      </w:r>
      <w:r w:rsidRPr="00B85E4D">
        <w:rPr>
          <w:sz w:val="24"/>
          <w:szCs w:val="24"/>
          <w:lang w:val="en-GB"/>
        </w:rPr>
        <w:t xml:space="preserve"> For the purposes of paragraphs 66-68, banks shall calculate the credit risk category add-on for a given netting set as follows:</w:t>
      </w:r>
    </w:p>
    <w:p w14:paraId="11016991" w14:textId="7E3BA5F4" w:rsidR="00D72DC8" w:rsidRPr="00B85E4D" w:rsidRDefault="00D72DC8" w:rsidP="00D72DC8">
      <w:pPr>
        <w:spacing w:after="0"/>
        <w:ind w:firstLine="708"/>
        <w:jc w:val="center"/>
        <w:rPr>
          <w:lang w:val="en-GB"/>
        </w:rPr>
      </w:pPr>
      <w:r w:rsidRPr="00B85E4D">
        <w:rPr>
          <w:rFonts w:eastAsia="Times New Roman" w:cs="Times New Roman"/>
          <w:noProof/>
          <w:sz w:val="24"/>
          <w:szCs w:val="24"/>
          <w:lang w:val="en-GB" w:eastAsia="ro-MD"/>
        </w:rPr>
        <w:lastRenderedPageBreak/>
        <w:drawing>
          <wp:inline distT="0" distB="0" distL="0" distR="0" wp14:anchorId="515A9061" wp14:editId="1A61B421">
            <wp:extent cx="2762250" cy="523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0" cy="523875"/>
                    </a:xfrm>
                    <a:prstGeom prst="rect">
                      <a:avLst/>
                    </a:prstGeom>
                    <a:noFill/>
                    <a:ln>
                      <a:noFill/>
                    </a:ln>
                  </pic:spPr>
                </pic:pic>
              </a:graphicData>
            </a:graphic>
          </wp:inline>
        </w:drawing>
      </w:r>
    </w:p>
    <w:p w14:paraId="06625956" w14:textId="1FBDFF29" w:rsidR="00757644" w:rsidRPr="00B85E4D" w:rsidRDefault="00757644" w:rsidP="00757644">
      <w:pPr>
        <w:rPr>
          <w:sz w:val="24"/>
          <w:szCs w:val="24"/>
          <w:lang w:val="en-GB"/>
        </w:rPr>
      </w:pPr>
      <w:proofErr w:type="spellStart"/>
      <w:r w:rsidRPr="00B85E4D">
        <w:rPr>
          <w:sz w:val="24"/>
          <w:szCs w:val="24"/>
          <w:lang w:val="en-GB"/>
        </w:rPr>
        <w:t>AddOn</w:t>
      </w:r>
      <w:r w:rsidRPr="00B85E4D">
        <w:rPr>
          <w:sz w:val="24"/>
          <w:szCs w:val="24"/>
          <w:vertAlign w:val="superscript"/>
          <w:lang w:val="en-GB"/>
        </w:rPr>
        <w:t>Credit</w:t>
      </w:r>
      <w:proofErr w:type="spellEnd"/>
      <w:r w:rsidRPr="00B85E4D">
        <w:rPr>
          <w:sz w:val="24"/>
          <w:szCs w:val="24"/>
          <w:lang w:val="en-GB"/>
        </w:rPr>
        <w:t>= the add-on for the credit risk category;</w:t>
      </w:r>
      <w:r w:rsidRPr="00B85E4D">
        <w:rPr>
          <w:sz w:val="24"/>
          <w:szCs w:val="24"/>
          <w:lang w:val="en-GB"/>
        </w:rPr>
        <w:br/>
        <w:t>j = the index designating all hedging sets established in accordance with paragraph 59 subparagraph 59.3 and paragraphs 61–64 for the netting set; and</w:t>
      </w:r>
      <w:r w:rsidRPr="00B85E4D">
        <w:rPr>
          <w:sz w:val="24"/>
          <w:szCs w:val="24"/>
          <w:lang w:val="en-GB"/>
        </w:rPr>
        <w:br/>
      </w:r>
      <w:proofErr w:type="spellStart"/>
      <w:r w:rsidRPr="00B85E4D">
        <w:rPr>
          <w:sz w:val="24"/>
          <w:szCs w:val="24"/>
          <w:lang w:val="en-GB"/>
        </w:rPr>
        <w:t>AddOn</w:t>
      </w:r>
      <w:r w:rsidRPr="00B85E4D">
        <w:rPr>
          <w:sz w:val="24"/>
          <w:szCs w:val="24"/>
          <w:vertAlign w:val="subscript"/>
          <w:lang w:val="en-GB"/>
        </w:rPr>
        <w:t>j</w:t>
      </w:r>
      <w:r w:rsidRPr="00B85E4D">
        <w:rPr>
          <w:sz w:val="24"/>
          <w:szCs w:val="24"/>
          <w:vertAlign w:val="superscript"/>
          <w:lang w:val="en-GB"/>
        </w:rPr>
        <w:t>Credit</w:t>
      </w:r>
      <w:proofErr w:type="spellEnd"/>
      <w:r w:rsidRPr="00B85E4D">
        <w:rPr>
          <w:sz w:val="24"/>
          <w:szCs w:val="24"/>
          <w:lang w:val="en-GB"/>
        </w:rPr>
        <w:t xml:space="preserve"> = the add-on for the credit risk category for hedging set </w:t>
      </w:r>
      <w:r w:rsidRPr="00B85E4D">
        <w:rPr>
          <w:i/>
          <w:iCs/>
          <w:sz w:val="24"/>
          <w:szCs w:val="24"/>
          <w:lang w:val="en-GB"/>
        </w:rPr>
        <w:t>j</w:t>
      </w:r>
      <w:r w:rsidRPr="00B85E4D">
        <w:rPr>
          <w:sz w:val="24"/>
          <w:szCs w:val="24"/>
          <w:lang w:val="en-GB"/>
        </w:rPr>
        <w:t>, calculated in accordance with paragraph 85.</w:t>
      </w:r>
    </w:p>
    <w:p w14:paraId="0609EE0B" w14:textId="0C5A1C4D" w:rsidR="00757644" w:rsidRPr="00B85E4D" w:rsidRDefault="00757644" w:rsidP="00757644">
      <w:pPr>
        <w:ind w:firstLine="708"/>
        <w:rPr>
          <w:sz w:val="24"/>
          <w:szCs w:val="24"/>
          <w:lang w:val="en-GB"/>
        </w:rPr>
      </w:pPr>
      <w:r w:rsidRPr="00B85E4D">
        <w:rPr>
          <w:b/>
          <w:bCs/>
          <w:sz w:val="24"/>
          <w:szCs w:val="24"/>
          <w:lang w:val="en-GB"/>
        </w:rPr>
        <w:t>85.</w:t>
      </w:r>
      <w:r w:rsidRPr="00B85E4D">
        <w:rPr>
          <w:sz w:val="24"/>
          <w:szCs w:val="24"/>
          <w:lang w:val="en-GB"/>
        </w:rPr>
        <w:t xml:space="preserve"> </w:t>
      </w:r>
      <w:r w:rsidR="00C07114" w:rsidRPr="00B85E4D">
        <w:rPr>
          <w:sz w:val="24"/>
          <w:szCs w:val="24"/>
          <w:lang w:val="en-GB"/>
        </w:rPr>
        <w:t>B</w:t>
      </w:r>
      <w:r w:rsidR="00CE128B">
        <w:rPr>
          <w:sz w:val="24"/>
          <w:szCs w:val="24"/>
          <w:lang w:val="en-GB"/>
        </w:rPr>
        <w:t>ank</w:t>
      </w:r>
      <w:r w:rsidR="00C07114" w:rsidRPr="00B85E4D">
        <w:rPr>
          <w:sz w:val="24"/>
          <w:szCs w:val="24"/>
          <w:lang w:val="en-GB"/>
        </w:rPr>
        <w:t>s</w:t>
      </w:r>
      <w:r w:rsidRPr="00B85E4D">
        <w:rPr>
          <w:sz w:val="24"/>
          <w:szCs w:val="24"/>
          <w:lang w:val="en-GB"/>
        </w:rPr>
        <w:t xml:space="preserve"> shall calculate the add-on for the credit risk category for hedging set </w:t>
      </w:r>
      <w:r w:rsidRPr="00B85E4D">
        <w:rPr>
          <w:i/>
          <w:iCs/>
          <w:sz w:val="24"/>
          <w:szCs w:val="24"/>
          <w:lang w:val="en-GB"/>
        </w:rPr>
        <w:t>j</w:t>
      </w:r>
      <w:r w:rsidRPr="00B85E4D">
        <w:rPr>
          <w:sz w:val="24"/>
          <w:szCs w:val="24"/>
          <w:lang w:val="en-GB"/>
        </w:rPr>
        <w:t xml:space="preserve"> as follows:</w:t>
      </w:r>
    </w:p>
    <w:p w14:paraId="4DB881E6" w14:textId="707108CD" w:rsidR="00757644" w:rsidRPr="00B85E4D" w:rsidRDefault="00757644" w:rsidP="00757644">
      <w:pPr>
        <w:rPr>
          <w:sz w:val="24"/>
          <w:szCs w:val="24"/>
          <w:lang w:val="en-GB"/>
        </w:rPr>
      </w:pPr>
      <w:r w:rsidRPr="00B85E4D">
        <w:rPr>
          <w:rFonts w:eastAsia="Times New Roman" w:cs="Times New Roman"/>
          <w:noProof/>
          <w:sz w:val="24"/>
          <w:szCs w:val="24"/>
          <w:lang w:val="en-GB" w:eastAsia="ro-MD"/>
        </w:rPr>
        <w:drawing>
          <wp:inline distT="0" distB="0" distL="0" distR="0" wp14:anchorId="3B6BA386" wp14:editId="0B305097">
            <wp:extent cx="5939790" cy="665409"/>
            <wp:effectExtent l="0" t="0" r="381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9790" cy="665409"/>
                    </a:xfrm>
                    <a:prstGeom prst="rect">
                      <a:avLst/>
                    </a:prstGeom>
                    <a:noFill/>
                    <a:ln>
                      <a:noFill/>
                    </a:ln>
                  </pic:spPr>
                </pic:pic>
              </a:graphicData>
            </a:graphic>
          </wp:inline>
        </w:drawing>
      </w:r>
    </w:p>
    <w:p w14:paraId="5C65EDB5" w14:textId="0961FBFE" w:rsidR="00B578C7" w:rsidRPr="00B85E4D" w:rsidRDefault="00C07114" w:rsidP="00B578C7">
      <w:pPr>
        <w:rPr>
          <w:sz w:val="24"/>
          <w:szCs w:val="24"/>
          <w:lang w:val="en-GB"/>
        </w:rPr>
      </w:pPr>
      <w:r w:rsidRPr="00B85E4D">
        <w:rPr>
          <w:sz w:val="24"/>
          <w:szCs w:val="24"/>
          <w:lang w:val="en-GB"/>
        </w:rPr>
        <w:t>where:</w:t>
      </w:r>
    </w:p>
    <w:p w14:paraId="0C5944BF" w14:textId="119D0BA3" w:rsidR="00757644" w:rsidRPr="00B85E4D" w:rsidRDefault="00757644" w:rsidP="00C07114">
      <w:pPr>
        <w:spacing w:after="0"/>
        <w:jc w:val="both"/>
        <w:rPr>
          <w:sz w:val="24"/>
          <w:szCs w:val="24"/>
          <w:lang w:val="en-GB"/>
        </w:rPr>
      </w:pPr>
      <w:proofErr w:type="spellStart"/>
      <w:r w:rsidRPr="00B85E4D">
        <w:rPr>
          <w:sz w:val="24"/>
          <w:szCs w:val="24"/>
          <w:lang w:val="en-GB"/>
        </w:rPr>
        <w:t>AddOn</w:t>
      </w:r>
      <w:r w:rsidRPr="00B85E4D">
        <w:rPr>
          <w:sz w:val="24"/>
          <w:szCs w:val="24"/>
          <w:vertAlign w:val="subscript"/>
          <w:lang w:val="en-GB"/>
        </w:rPr>
        <w:t>j</w:t>
      </w:r>
      <w:r w:rsidRPr="00B85E4D">
        <w:rPr>
          <w:sz w:val="24"/>
          <w:szCs w:val="24"/>
          <w:vertAlign w:val="superscript"/>
          <w:lang w:val="en-GB"/>
        </w:rPr>
        <w:t>Credit</w:t>
      </w:r>
      <w:proofErr w:type="spellEnd"/>
      <w:r w:rsidRPr="00B85E4D">
        <w:rPr>
          <w:sz w:val="24"/>
          <w:szCs w:val="24"/>
          <w:lang w:val="en-GB"/>
        </w:rPr>
        <w:t xml:space="preserve"> = the credit risk category add-on for hedging set </w:t>
      </w:r>
      <w:proofErr w:type="gramStart"/>
      <w:r w:rsidRPr="00B85E4D">
        <w:rPr>
          <w:i/>
          <w:iCs/>
          <w:sz w:val="24"/>
          <w:szCs w:val="24"/>
          <w:lang w:val="en-GB"/>
        </w:rPr>
        <w:t>j</w:t>
      </w:r>
      <w:r w:rsidRPr="00B85E4D">
        <w:rPr>
          <w:sz w:val="24"/>
          <w:szCs w:val="24"/>
          <w:lang w:val="en-GB"/>
        </w:rPr>
        <w:t>;</w:t>
      </w:r>
      <w:proofErr w:type="gramEnd"/>
    </w:p>
    <w:p w14:paraId="720E6DCA" w14:textId="0DF0D5FA" w:rsidR="00757644" w:rsidRPr="00B85E4D" w:rsidRDefault="00757644" w:rsidP="00C07114">
      <w:pPr>
        <w:spacing w:after="0"/>
        <w:jc w:val="both"/>
        <w:rPr>
          <w:sz w:val="24"/>
          <w:szCs w:val="24"/>
          <w:lang w:val="en-GB"/>
        </w:rPr>
      </w:pPr>
      <w:proofErr w:type="spellStart"/>
      <w:r w:rsidRPr="00B85E4D">
        <w:rPr>
          <w:sz w:val="24"/>
          <w:szCs w:val="24"/>
          <w:lang w:val="en-GB"/>
        </w:rPr>
        <w:t>єj</w:t>
      </w:r>
      <w:proofErr w:type="spellEnd"/>
      <w:r w:rsidRPr="00B85E4D">
        <w:rPr>
          <w:sz w:val="24"/>
          <w:szCs w:val="24"/>
          <w:lang w:val="en-GB"/>
        </w:rPr>
        <w:t xml:space="preserve"> = the hedging set supervisory factor coefficient of</w:t>
      </w:r>
      <w:r w:rsidR="00C07114" w:rsidRPr="00B85E4D">
        <w:rPr>
          <w:sz w:val="24"/>
          <w:szCs w:val="24"/>
          <w:lang w:val="en-GB"/>
        </w:rPr>
        <w:t xml:space="preserve"> </w:t>
      </w:r>
      <w:r w:rsidRPr="00B85E4D">
        <w:rPr>
          <w:sz w:val="24"/>
          <w:szCs w:val="24"/>
          <w:lang w:val="en-GB"/>
        </w:rPr>
        <w:t xml:space="preserve">hedging set </w:t>
      </w:r>
      <w:r w:rsidRPr="00B85E4D">
        <w:rPr>
          <w:i/>
          <w:iCs/>
          <w:sz w:val="24"/>
          <w:szCs w:val="24"/>
          <w:lang w:val="en-GB"/>
        </w:rPr>
        <w:t>j</w:t>
      </w:r>
      <w:r w:rsidRPr="00B85E4D">
        <w:rPr>
          <w:sz w:val="24"/>
          <w:szCs w:val="24"/>
          <w:lang w:val="en-GB"/>
        </w:rPr>
        <w:t xml:space="preserve"> determined in accordance with</w:t>
      </w:r>
      <w:r w:rsidR="00C07114" w:rsidRPr="00B85E4D">
        <w:rPr>
          <w:sz w:val="24"/>
          <w:szCs w:val="24"/>
          <w:lang w:val="en-GB"/>
        </w:rPr>
        <w:t xml:space="preserve"> paragraph </w:t>
      </w:r>
      <w:proofErr w:type="gramStart"/>
      <w:r w:rsidR="00C07114" w:rsidRPr="00B85E4D">
        <w:rPr>
          <w:sz w:val="24"/>
          <w:szCs w:val="24"/>
          <w:lang w:val="en-GB"/>
        </w:rPr>
        <w:t>77;</w:t>
      </w:r>
      <w:proofErr w:type="gramEnd"/>
    </w:p>
    <w:p w14:paraId="685A61F9" w14:textId="6535DAD0" w:rsidR="00757644" w:rsidRPr="00B85E4D" w:rsidRDefault="00757644" w:rsidP="00C07114">
      <w:pPr>
        <w:spacing w:after="0"/>
        <w:jc w:val="both"/>
        <w:rPr>
          <w:sz w:val="24"/>
          <w:szCs w:val="24"/>
          <w:lang w:val="en-GB"/>
        </w:rPr>
      </w:pPr>
      <w:r w:rsidRPr="00B85E4D">
        <w:rPr>
          <w:sz w:val="24"/>
          <w:szCs w:val="24"/>
          <w:lang w:val="en-GB"/>
        </w:rPr>
        <w:t>k = the index that denotes the credit reference entities of</w:t>
      </w:r>
      <w:r w:rsidR="00C07114" w:rsidRPr="00B85E4D">
        <w:rPr>
          <w:sz w:val="24"/>
          <w:szCs w:val="24"/>
          <w:lang w:val="en-GB"/>
        </w:rPr>
        <w:t xml:space="preserve"> </w:t>
      </w:r>
      <w:r w:rsidRPr="00B85E4D">
        <w:rPr>
          <w:sz w:val="24"/>
          <w:szCs w:val="24"/>
          <w:lang w:val="en-GB"/>
        </w:rPr>
        <w:t>the netting set established in accordance with</w:t>
      </w:r>
      <w:r w:rsidR="00C07114" w:rsidRPr="00B85E4D">
        <w:rPr>
          <w:sz w:val="24"/>
          <w:szCs w:val="24"/>
          <w:lang w:val="en-GB"/>
        </w:rPr>
        <w:t xml:space="preserve"> pa</w:t>
      </w:r>
      <w:r w:rsidRPr="00B85E4D">
        <w:rPr>
          <w:sz w:val="24"/>
          <w:szCs w:val="24"/>
          <w:lang w:val="en-GB"/>
        </w:rPr>
        <w:t xml:space="preserve">ragraph </w:t>
      </w:r>
      <w:proofErr w:type="gramStart"/>
      <w:r w:rsidR="00C07114" w:rsidRPr="00B85E4D">
        <w:rPr>
          <w:sz w:val="24"/>
          <w:szCs w:val="24"/>
          <w:lang w:val="en-GB"/>
        </w:rPr>
        <w:t>83</w:t>
      </w:r>
      <w:r w:rsidRPr="00B85E4D">
        <w:rPr>
          <w:sz w:val="24"/>
          <w:szCs w:val="24"/>
          <w:lang w:val="en-GB"/>
        </w:rPr>
        <w:t>;</w:t>
      </w:r>
      <w:proofErr w:type="gramEnd"/>
    </w:p>
    <w:p w14:paraId="327DA8D2" w14:textId="2D85F234" w:rsidR="00757644" w:rsidRPr="00B85E4D" w:rsidRDefault="00757644" w:rsidP="00C07114">
      <w:pPr>
        <w:spacing w:after="0"/>
        <w:jc w:val="both"/>
        <w:rPr>
          <w:sz w:val="24"/>
          <w:szCs w:val="24"/>
          <w:lang w:val="en-GB"/>
        </w:rPr>
      </w:pPr>
      <w:proofErr w:type="spellStart"/>
      <w:r w:rsidRPr="00B85E4D">
        <w:rPr>
          <w:sz w:val="24"/>
          <w:szCs w:val="24"/>
          <w:lang w:val="en-GB"/>
        </w:rPr>
        <w:t>ρ</w:t>
      </w:r>
      <w:r w:rsidR="00C07114" w:rsidRPr="00B85E4D">
        <w:rPr>
          <w:sz w:val="24"/>
          <w:szCs w:val="24"/>
          <w:lang w:val="en-GB"/>
        </w:rPr>
        <w:t>k</w:t>
      </w:r>
      <w:r w:rsidRPr="00B85E4D">
        <w:rPr>
          <w:sz w:val="24"/>
          <w:szCs w:val="24"/>
          <w:vertAlign w:val="superscript"/>
          <w:lang w:val="en-GB"/>
        </w:rPr>
        <w:t>Credit</w:t>
      </w:r>
      <w:proofErr w:type="spellEnd"/>
      <w:r w:rsidRPr="00B85E4D">
        <w:rPr>
          <w:sz w:val="24"/>
          <w:szCs w:val="24"/>
          <w:lang w:val="en-GB"/>
        </w:rPr>
        <w:t xml:space="preserve"> = the correlation factor of the credit reference entity</w:t>
      </w:r>
      <w:r w:rsidR="00C07114" w:rsidRPr="00B85E4D">
        <w:rPr>
          <w:sz w:val="24"/>
          <w:szCs w:val="24"/>
          <w:lang w:val="en-GB"/>
        </w:rPr>
        <w:t xml:space="preserve"> </w:t>
      </w:r>
      <w:r w:rsidRPr="00B85E4D">
        <w:rPr>
          <w:i/>
          <w:iCs/>
          <w:sz w:val="24"/>
          <w:szCs w:val="24"/>
          <w:lang w:val="en-GB"/>
        </w:rPr>
        <w:t>k</w:t>
      </w:r>
      <w:r w:rsidR="00C07114" w:rsidRPr="00B85E4D">
        <w:rPr>
          <w:sz w:val="24"/>
          <w:szCs w:val="24"/>
          <w:lang w:val="en-GB"/>
        </w:rPr>
        <w:t>,</w:t>
      </w:r>
      <w:r w:rsidRPr="00B85E4D">
        <w:rPr>
          <w:sz w:val="24"/>
          <w:szCs w:val="24"/>
          <w:lang w:val="en-GB"/>
        </w:rPr>
        <w:t xml:space="preserve"> where the credit</w:t>
      </w:r>
      <w:r w:rsidR="00C07114" w:rsidRPr="00B85E4D">
        <w:rPr>
          <w:sz w:val="24"/>
          <w:szCs w:val="24"/>
          <w:lang w:val="en-GB"/>
        </w:rPr>
        <w:t xml:space="preserve"> r</w:t>
      </w:r>
      <w:r w:rsidRPr="00B85E4D">
        <w:rPr>
          <w:sz w:val="24"/>
          <w:szCs w:val="24"/>
          <w:lang w:val="en-GB"/>
        </w:rPr>
        <w:t xml:space="preserve">eference entity </w:t>
      </w:r>
      <w:r w:rsidRPr="00B85E4D">
        <w:rPr>
          <w:i/>
          <w:iCs/>
          <w:sz w:val="24"/>
          <w:szCs w:val="24"/>
          <w:lang w:val="en-GB"/>
        </w:rPr>
        <w:t>k</w:t>
      </w:r>
      <w:r w:rsidRPr="00B85E4D">
        <w:rPr>
          <w:sz w:val="24"/>
          <w:szCs w:val="24"/>
          <w:lang w:val="en-GB"/>
        </w:rPr>
        <w:t xml:space="preserve"> has been</w:t>
      </w:r>
      <w:r w:rsidR="00C07114" w:rsidRPr="00B85E4D">
        <w:rPr>
          <w:sz w:val="24"/>
          <w:szCs w:val="24"/>
          <w:lang w:val="en-GB"/>
        </w:rPr>
        <w:t xml:space="preserve"> </w:t>
      </w:r>
      <w:r w:rsidRPr="00B85E4D">
        <w:rPr>
          <w:sz w:val="24"/>
          <w:szCs w:val="24"/>
          <w:lang w:val="en-GB"/>
        </w:rPr>
        <w:t xml:space="preserve">established in accordance with </w:t>
      </w:r>
      <w:r w:rsidR="00C07114" w:rsidRPr="00B85E4D">
        <w:rPr>
          <w:sz w:val="24"/>
          <w:szCs w:val="24"/>
          <w:lang w:val="en-GB"/>
        </w:rPr>
        <w:t>paragraph 83, subparagraph 83.1</w:t>
      </w:r>
      <w:proofErr w:type="gramStart"/>
      <w:r w:rsidR="00C07114" w:rsidRPr="00B85E4D">
        <w:rPr>
          <w:sz w:val="24"/>
          <w:szCs w:val="24"/>
          <w:lang w:val="en-GB"/>
        </w:rPr>
        <w:t>.;</w:t>
      </w:r>
      <w:proofErr w:type="gramEnd"/>
    </w:p>
    <w:p w14:paraId="2CD92707" w14:textId="2A00D4CB" w:rsidR="00C07114" w:rsidRPr="00B85E4D" w:rsidRDefault="00C07114" w:rsidP="00C07114">
      <w:pPr>
        <w:spacing w:after="0"/>
        <w:ind w:left="2832" w:firstLine="708"/>
        <w:jc w:val="both"/>
        <w:rPr>
          <w:sz w:val="24"/>
          <w:szCs w:val="24"/>
          <w:lang w:val="en-GB"/>
        </w:rPr>
      </w:pPr>
      <w:proofErr w:type="spellStart"/>
      <w:r w:rsidRPr="00B85E4D">
        <w:rPr>
          <w:sz w:val="24"/>
          <w:szCs w:val="24"/>
          <w:lang w:val="en-GB"/>
        </w:rPr>
        <w:t>ρk</w:t>
      </w:r>
      <w:r w:rsidRPr="00B85E4D">
        <w:rPr>
          <w:sz w:val="24"/>
          <w:szCs w:val="24"/>
          <w:vertAlign w:val="superscript"/>
          <w:lang w:val="en-GB"/>
        </w:rPr>
        <w:t>Credit</w:t>
      </w:r>
      <w:proofErr w:type="spellEnd"/>
      <w:r w:rsidRPr="00B85E4D">
        <w:rPr>
          <w:sz w:val="24"/>
          <w:szCs w:val="24"/>
          <w:lang w:val="en-GB"/>
        </w:rPr>
        <w:t xml:space="preserve"> =50%</w:t>
      </w:r>
    </w:p>
    <w:p w14:paraId="1EC5033A" w14:textId="77777777" w:rsidR="00C07114" w:rsidRPr="00B85E4D" w:rsidRDefault="00C07114" w:rsidP="00C07114">
      <w:pPr>
        <w:spacing w:after="0"/>
        <w:jc w:val="both"/>
        <w:rPr>
          <w:sz w:val="24"/>
          <w:szCs w:val="24"/>
          <w:lang w:val="en-GB"/>
        </w:rPr>
      </w:pPr>
    </w:p>
    <w:p w14:paraId="1EF67522" w14:textId="77777777" w:rsidR="00C07114" w:rsidRPr="00B85E4D" w:rsidRDefault="00757644" w:rsidP="00C07114">
      <w:pPr>
        <w:spacing w:after="0"/>
        <w:jc w:val="both"/>
        <w:rPr>
          <w:sz w:val="24"/>
          <w:szCs w:val="24"/>
          <w:lang w:val="en-GB"/>
        </w:rPr>
      </w:pPr>
      <w:r w:rsidRPr="00B85E4D">
        <w:rPr>
          <w:sz w:val="24"/>
          <w:szCs w:val="24"/>
          <w:lang w:val="en-GB"/>
        </w:rPr>
        <w:t>where the credit</w:t>
      </w:r>
      <w:r w:rsidR="00C07114" w:rsidRPr="00B85E4D">
        <w:rPr>
          <w:sz w:val="24"/>
          <w:szCs w:val="24"/>
          <w:lang w:val="en-GB"/>
        </w:rPr>
        <w:t xml:space="preserve"> </w:t>
      </w:r>
      <w:r w:rsidRPr="00B85E4D">
        <w:rPr>
          <w:sz w:val="24"/>
          <w:szCs w:val="24"/>
          <w:lang w:val="en-GB"/>
        </w:rPr>
        <w:t xml:space="preserve">reference entity </w:t>
      </w:r>
      <w:r w:rsidRPr="00B85E4D">
        <w:rPr>
          <w:i/>
          <w:iCs/>
          <w:sz w:val="24"/>
          <w:szCs w:val="24"/>
          <w:lang w:val="en-GB"/>
        </w:rPr>
        <w:t>k</w:t>
      </w:r>
      <w:r w:rsidRPr="00B85E4D">
        <w:rPr>
          <w:sz w:val="24"/>
          <w:szCs w:val="24"/>
          <w:lang w:val="en-GB"/>
        </w:rPr>
        <w:t xml:space="preserve"> has been established in</w:t>
      </w:r>
      <w:r w:rsidR="00C07114" w:rsidRPr="00B85E4D">
        <w:rPr>
          <w:sz w:val="24"/>
          <w:szCs w:val="24"/>
          <w:lang w:val="en-GB"/>
        </w:rPr>
        <w:t xml:space="preserve"> </w:t>
      </w:r>
      <w:r w:rsidRPr="00B85E4D">
        <w:rPr>
          <w:sz w:val="24"/>
          <w:szCs w:val="24"/>
          <w:lang w:val="en-GB"/>
        </w:rPr>
        <w:t xml:space="preserve">accordance with </w:t>
      </w:r>
      <w:r w:rsidR="00C07114" w:rsidRPr="00B85E4D">
        <w:rPr>
          <w:sz w:val="24"/>
          <w:szCs w:val="24"/>
          <w:lang w:val="en-GB"/>
        </w:rPr>
        <w:t xml:space="preserve">paragraph 83, subparagraph </w:t>
      </w:r>
      <w:proofErr w:type="gramStart"/>
      <w:r w:rsidR="00C07114" w:rsidRPr="00B85E4D">
        <w:rPr>
          <w:sz w:val="24"/>
          <w:szCs w:val="24"/>
          <w:lang w:val="en-GB"/>
        </w:rPr>
        <w:t>83.2;</w:t>
      </w:r>
      <w:proofErr w:type="gramEnd"/>
    </w:p>
    <w:p w14:paraId="672A5C08" w14:textId="54C87F1A" w:rsidR="00757644" w:rsidRPr="00B85E4D" w:rsidRDefault="00C07114" w:rsidP="00C07114">
      <w:pPr>
        <w:spacing w:after="0"/>
        <w:ind w:left="2832" w:firstLine="708"/>
        <w:jc w:val="both"/>
        <w:rPr>
          <w:sz w:val="24"/>
          <w:szCs w:val="24"/>
          <w:lang w:val="en-GB"/>
        </w:rPr>
      </w:pPr>
      <w:proofErr w:type="spellStart"/>
      <w:r w:rsidRPr="00B85E4D">
        <w:rPr>
          <w:sz w:val="24"/>
          <w:szCs w:val="24"/>
          <w:lang w:val="en-GB"/>
        </w:rPr>
        <w:t>ρk</w:t>
      </w:r>
      <w:r w:rsidRPr="00B85E4D">
        <w:rPr>
          <w:sz w:val="24"/>
          <w:szCs w:val="24"/>
          <w:vertAlign w:val="superscript"/>
          <w:lang w:val="en-GB"/>
        </w:rPr>
        <w:t>Credit</w:t>
      </w:r>
      <w:proofErr w:type="spellEnd"/>
      <w:r w:rsidRPr="00B85E4D">
        <w:rPr>
          <w:sz w:val="24"/>
          <w:szCs w:val="24"/>
          <w:lang w:val="en-GB"/>
        </w:rPr>
        <w:t xml:space="preserve"> =80%</w:t>
      </w:r>
      <w:r w:rsidR="00757644" w:rsidRPr="00B85E4D">
        <w:rPr>
          <w:sz w:val="24"/>
          <w:szCs w:val="24"/>
          <w:lang w:val="en-GB"/>
        </w:rPr>
        <w:t>; and</w:t>
      </w:r>
    </w:p>
    <w:p w14:paraId="735619B9" w14:textId="02E44690" w:rsidR="00757644" w:rsidRPr="00B85E4D" w:rsidRDefault="00757644" w:rsidP="00C07114">
      <w:pPr>
        <w:spacing w:after="0"/>
        <w:jc w:val="both"/>
        <w:rPr>
          <w:sz w:val="24"/>
          <w:szCs w:val="24"/>
          <w:lang w:val="en-GB"/>
        </w:rPr>
      </w:pPr>
      <w:proofErr w:type="spellStart"/>
      <w:proofErr w:type="gramStart"/>
      <w:r w:rsidRPr="00B85E4D">
        <w:rPr>
          <w:sz w:val="24"/>
          <w:szCs w:val="24"/>
          <w:lang w:val="en-GB"/>
        </w:rPr>
        <w:t>AddOn</w:t>
      </w:r>
      <w:proofErr w:type="spellEnd"/>
      <w:r w:rsidRPr="00B85E4D">
        <w:rPr>
          <w:sz w:val="24"/>
          <w:szCs w:val="24"/>
          <w:lang w:val="en-GB"/>
        </w:rPr>
        <w:t>(</w:t>
      </w:r>
      <w:proofErr w:type="spellStart"/>
      <w:proofErr w:type="gramEnd"/>
      <w:r w:rsidRPr="00B85E4D">
        <w:rPr>
          <w:sz w:val="24"/>
          <w:szCs w:val="24"/>
          <w:lang w:val="en-GB"/>
        </w:rPr>
        <w:t>Entit</w:t>
      </w:r>
      <w:r w:rsidR="00C07114" w:rsidRPr="00B85E4D">
        <w:rPr>
          <w:sz w:val="24"/>
          <w:szCs w:val="24"/>
          <w:lang w:val="en-GB"/>
        </w:rPr>
        <w:t>y</w:t>
      </w:r>
      <w:r w:rsidRPr="00B85E4D">
        <w:rPr>
          <w:sz w:val="24"/>
          <w:szCs w:val="24"/>
          <w:vertAlign w:val="subscript"/>
          <w:lang w:val="en-GB"/>
        </w:rPr>
        <w:t>k</w:t>
      </w:r>
      <w:proofErr w:type="spellEnd"/>
      <w:r w:rsidRPr="00B85E4D">
        <w:rPr>
          <w:sz w:val="24"/>
          <w:szCs w:val="24"/>
          <w:lang w:val="en-GB"/>
        </w:rPr>
        <w:t xml:space="preserve">) = the add-on for the credit reference entity </w:t>
      </w:r>
      <w:r w:rsidRPr="00B85E4D">
        <w:rPr>
          <w:i/>
          <w:iCs/>
          <w:sz w:val="24"/>
          <w:szCs w:val="24"/>
          <w:lang w:val="en-GB"/>
        </w:rPr>
        <w:t>k</w:t>
      </w:r>
      <w:r w:rsidR="00C07114" w:rsidRPr="00B85E4D">
        <w:rPr>
          <w:i/>
          <w:iCs/>
          <w:sz w:val="24"/>
          <w:szCs w:val="24"/>
          <w:lang w:val="en-GB"/>
        </w:rPr>
        <w:t xml:space="preserve"> </w:t>
      </w:r>
      <w:r w:rsidRPr="00B85E4D">
        <w:rPr>
          <w:sz w:val="24"/>
          <w:szCs w:val="24"/>
          <w:lang w:val="en-GB"/>
        </w:rPr>
        <w:t xml:space="preserve">determined in accordance with paragraph </w:t>
      </w:r>
      <w:r w:rsidR="00C07114" w:rsidRPr="00B85E4D">
        <w:rPr>
          <w:sz w:val="24"/>
          <w:szCs w:val="24"/>
          <w:lang w:val="en-GB"/>
        </w:rPr>
        <w:t>86</w:t>
      </w:r>
      <w:r w:rsidRPr="00B85E4D">
        <w:rPr>
          <w:sz w:val="24"/>
          <w:szCs w:val="24"/>
          <w:lang w:val="en-GB"/>
        </w:rPr>
        <w:t>.</w:t>
      </w:r>
    </w:p>
    <w:p w14:paraId="15D30EAA" w14:textId="0F010984" w:rsidR="00757644" w:rsidRPr="00B85E4D" w:rsidRDefault="00C07114" w:rsidP="00C07114">
      <w:pPr>
        <w:spacing w:after="0"/>
        <w:ind w:firstLine="708"/>
        <w:rPr>
          <w:b/>
          <w:bCs/>
          <w:sz w:val="24"/>
          <w:szCs w:val="24"/>
          <w:lang w:val="en-GB"/>
        </w:rPr>
      </w:pPr>
      <w:r w:rsidRPr="00B85E4D">
        <w:rPr>
          <w:b/>
          <w:bCs/>
          <w:sz w:val="24"/>
          <w:szCs w:val="24"/>
          <w:lang w:val="en-GB"/>
        </w:rPr>
        <w:t>86</w:t>
      </w:r>
      <w:r w:rsidR="00757644" w:rsidRPr="00B85E4D">
        <w:rPr>
          <w:b/>
          <w:bCs/>
          <w:sz w:val="24"/>
          <w:szCs w:val="24"/>
          <w:lang w:val="en-GB"/>
        </w:rPr>
        <w:t>.</w:t>
      </w:r>
      <w:r w:rsidR="00757644" w:rsidRPr="00B85E4D">
        <w:rPr>
          <w:sz w:val="24"/>
          <w:szCs w:val="24"/>
          <w:lang w:val="en-GB"/>
        </w:rPr>
        <w:t xml:space="preserve"> </w:t>
      </w:r>
      <w:r w:rsidRPr="00B85E4D">
        <w:rPr>
          <w:sz w:val="24"/>
          <w:szCs w:val="24"/>
          <w:lang w:val="en-GB"/>
        </w:rPr>
        <w:t>Banks</w:t>
      </w:r>
      <w:r w:rsidR="00757644" w:rsidRPr="00B85E4D">
        <w:rPr>
          <w:sz w:val="24"/>
          <w:szCs w:val="24"/>
          <w:lang w:val="en-GB"/>
        </w:rPr>
        <w:t xml:space="preserve"> shall calculate the add-on for the credit reference</w:t>
      </w:r>
      <w:r w:rsidRPr="00B85E4D">
        <w:rPr>
          <w:sz w:val="24"/>
          <w:szCs w:val="24"/>
          <w:lang w:val="en-GB"/>
        </w:rPr>
        <w:t xml:space="preserve"> </w:t>
      </w:r>
      <w:r w:rsidR="00757644" w:rsidRPr="00B85E4D">
        <w:rPr>
          <w:sz w:val="24"/>
          <w:szCs w:val="24"/>
          <w:lang w:val="en-GB"/>
        </w:rPr>
        <w:t xml:space="preserve">entity </w:t>
      </w:r>
      <w:r w:rsidR="00757644" w:rsidRPr="00B85E4D">
        <w:rPr>
          <w:i/>
          <w:iCs/>
          <w:sz w:val="24"/>
          <w:szCs w:val="24"/>
          <w:lang w:val="en-GB"/>
        </w:rPr>
        <w:t>k</w:t>
      </w:r>
      <w:r w:rsidR="00757644" w:rsidRPr="00B85E4D">
        <w:rPr>
          <w:sz w:val="24"/>
          <w:szCs w:val="24"/>
          <w:lang w:val="en-GB"/>
        </w:rPr>
        <w:t xml:space="preserve"> as follows:</w:t>
      </w:r>
    </w:p>
    <w:p w14:paraId="7B8D01D0" w14:textId="6A20C0DF" w:rsidR="00757644" w:rsidRPr="00B85E4D" w:rsidRDefault="00C07114" w:rsidP="00B578C7">
      <w:pPr>
        <w:spacing w:after="0"/>
        <w:jc w:val="center"/>
        <w:rPr>
          <w:b/>
          <w:bCs/>
          <w:lang w:val="en-GB"/>
        </w:rPr>
      </w:pPr>
      <w:r w:rsidRPr="00B85E4D">
        <w:rPr>
          <w:rFonts w:eastAsia="Times New Roman" w:cs="Times New Roman"/>
          <w:noProof/>
          <w:sz w:val="24"/>
          <w:szCs w:val="24"/>
          <w:lang w:val="en-GB" w:eastAsia="ro-MD"/>
        </w:rPr>
        <w:t xml:space="preserve">   </w:t>
      </w:r>
      <w:r w:rsidRPr="00B85E4D">
        <w:rPr>
          <w:rFonts w:eastAsia="Times New Roman" w:cs="Times New Roman"/>
          <w:noProof/>
          <w:sz w:val="24"/>
          <w:szCs w:val="24"/>
          <w:lang w:val="en-GB" w:eastAsia="ro-MD"/>
        </w:rPr>
        <w:drawing>
          <wp:inline distT="0" distB="0" distL="0" distR="0" wp14:anchorId="05942D51" wp14:editId="209B2B09">
            <wp:extent cx="3000794" cy="381053"/>
            <wp:effectExtent l="0" t="0" r="9525" b="0"/>
            <wp:docPr id="70838995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89951" name=""/>
                    <pic:cNvPicPr/>
                  </pic:nvPicPr>
                  <pic:blipFill>
                    <a:blip r:embed="rId28"/>
                    <a:stretch>
                      <a:fillRect/>
                    </a:stretch>
                  </pic:blipFill>
                  <pic:spPr>
                    <a:xfrm>
                      <a:off x="0" y="0"/>
                      <a:ext cx="3000794" cy="381053"/>
                    </a:xfrm>
                    <a:prstGeom prst="rect">
                      <a:avLst/>
                    </a:prstGeom>
                  </pic:spPr>
                </pic:pic>
              </a:graphicData>
            </a:graphic>
          </wp:inline>
        </w:drawing>
      </w:r>
    </w:p>
    <w:p w14:paraId="40D4A2C2" w14:textId="53150951" w:rsidR="00C07114" w:rsidRPr="00B85E4D" w:rsidRDefault="00C07114" w:rsidP="00C07114">
      <w:pPr>
        <w:spacing w:after="0"/>
        <w:ind w:firstLine="567"/>
        <w:jc w:val="both"/>
        <w:rPr>
          <w:rFonts w:eastAsia="Times New Roman" w:cs="Times New Roman"/>
          <w:sz w:val="24"/>
          <w:szCs w:val="24"/>
          <w:lang w:val="en-GB" w:eastAsia="ro-MD"/>
        </w:rPr>
      </w:pPr>
      <w:r w:rsidRPr="00B85E4D">
        <w:rPr>
          <w:rFonts w:eastAsia="Times New Roman" w:cs="Times New Roman"/>
          <w:sz w:val="24"/>
          <w:szCs w:val="24"/>
          <w:lang w:val="en-GB" w:eastAsia="ro-MD"/>
        </w:rPr>
        <w:t>where:</w:t>
      </w:r>
    </w:p>
    <w:p w14:paraId="3874D0CE" w14:textId="0F5829AD" w:rsidR="00C07114" w:rsidRPr="00B85E4D" w:rsidRDefault="00C07114" w:rsidP="00C07114">
      <w:pPr>
        <w:spacing w:after="0"/>
        <w:ind w:firstLine="567"/>
        <w:jc w:val="both"/>
        <w:rPr>
          <w:rFonts w:eastAsia="Times New Roman" w:cs="Times New Roman"/>
          <w:sz w:val="24"/>
          <w:szCs w:val="24"/>
          <w:lang w:val="en-GB" w:eastAsia="ro-MD"/>
        </w:rPr>
      </w:pPr>
      <w:proofErr w:type="spellStart"/>
      <w:r w:rsidRPr="00B85E4D">
        <w:rPr>
          <w:rFonts w:eastAsia="Times New Roman" w:cs="Times New Roman"/>
          <w:sz w:val="24"/>
          <w:szCs w:val="24"/>
          <w:lang w:val="en-GB" w:eastAsia="ro-MD"/>
        </w:rPr>
        <w:t>EffNot</w:t>
      </w:r>
      <w:r w:rsidRPr="00B85E4D">
        <w:rPr>
          <w:rFonts w:eastAsia="Times New Roman" w:cs="Times New Roman"/>
          <w:sz w:val="24"/>
          <w:szCs w:val="24"/>
          <w:vertAlign w:val="subscript"/>
          <w:lang w:val="en-GB" w:eastAsia="ro-MD"/>
        </w:rPr>
        <w:t>k</w:t>
      </w:r>
      <w:r w:rsidRPr="00B85E4D">
        <w:rPr>
          <w:rFonts w:eastAsia="Times New Roman" w:cs="Times New Roman"/>
          <w:sz w:val="24"/>
          <w:szCs w:val="24"/>
          <w:vertAlign w:val="superscript"/>
          <w:lang w:val="en-GB" w:eastAsia="ro-MD"/>
        </w:rPr>
        <w:t>Credit</w:t>
      </w:r>
      <w:proofErr w:type="spellEnd"/>
      <w:r w:rsidRPr="00B85E4D">
        <w:rPr>
          <w:rFonts w:eastAsia="Times New Roman" w:cs="Times New Roman"/>
          <w:sz w:val="24"/>
          <w:szCs w:val="24"/>
          <w:lang w:val="en-GB" w:eastAsia="ro-MD"/>
        </w:rPr>
        <w:t xml:space="preserve"> = </w:t>
      </w:r>
      <w:r w:rsidRPr="00B85E4D">
        <w:rPr>
          <w:sz w:val="24"/>
          <w:szCs w:val="24"/>
          <w:lang w:val="en-GB"/>
        </w:rPr>
        <w:t xml:space="preserve">the effective notional amount of the credit reference entity </w:t>
      </w:r>
      <w:r w:rsidRPr="00B85E4D">
        <w:rPr>
          <w:i/>
          <w:iCs/>
          <w:sz w:val="24"/>
          <w:szCs w:val="24"/>
          <w:lang w:val="en-GB"/>
        </w:rPr>
        <w:t xml:space="preserve">k </w:t>
      </w:r>
      <w:r w:rsidRPr="00B85E4D">
        <w:rPr>
          <w:sz w:val="24"/>
          <w:szCs w:val="24"/>
          <w:lang w:val="en-GB"/>
        </w:rPr>
        <w:t>calculated as follows</w:t>
      </w:r>
      <w:r w:rsidRPr="00B85E4D">
        <w:rPr>
          <w:rFonts w:eastAsia="Times New Roman" w:cs="Times New Roman"/>
          <w:sz w:val="24"/>
          <w:szCs w:val="24"/>
          <w:lang w:val="en-GB" w:eastAsia="ro-MD"/>
        </w:rPr>
        <w:t>:</w:t>
      </w:r>
    </w:p>
    <w:p w14:paraId="6EB0C70D" w14:textId="3777380E" w:rsidR="00757644" w:rsidRPr="00B85E4D" w:rsidRDefault="00C07114" w:rsidP="00C07114">
      <w:pPr>
        <w:spacing w:after="0"/>
        <w:jc w:val="center"/>
        <w:rPr>
          <w:b/>
          <w:bCs/>
          <w:lang w:val="en-GB"/>
        </w:rPr>
      </w:pPr>
      <w:r w:rsidRPr="00B85E4D">
        <w:rPr>
          <w:rFonts w:eastAsia="Times New Roman" w:cs="Times New Roman"/>
          <w:noProof/>
          <w:sz w:val="24"/>
          <w:szCs w:val="24"/>
          <w:lang w:val="en-GB" w:eastAsia="ro-MD"/>
        </w:rPr>
        <w:drawing>
          <wp:inline distT="0" distB="0" distL="0" distR="0" wp14:anchorId="78B218A5" wp14:editId="63686854">
            <wp:extent cx="4239217" cy="609685"/>
            <wp:effectExtent l="0" t="0" r="9525" b="0"/>
            <wp:docPr id="91086412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64124" name=""/>
                    <pic:cNvPicPr/>
                  </pic:nvPicPr>
                  <pic:blipFill>
                    <a:blip r:embed="rId29"/>
                    <a:stretch>
                      <a:fillRect/>
                    </a:stretch>
                  </pic:blipFill>
                  <pic:spPr>
                    <a:xfrm>
                      <a:off x="0" y="0"/>
                      <a:ext cx="4239217" cy="609685"/>
                    </a:xfrm>
                    <a:prstGeom prst="rect">
                      <a:avLst/>
                    </a:prstGeom>
                  </pic:spPr>
                </pic:pic>
              </a:graphicData>
            </a:graphic>
          </wp:inline>
        </w:drawing>
      </w:r>
    </w:p>
    <w:p w14:paraId="00D653C4" w14:textId="77777777" w:rsidR="00C07114" w:rsidRPr="00B85E4D" w:rsidRDefault="00C07114" w:rsidP="00B578C7">
      <w:pPr>
        <w:spacing w:after="0"/>
        <w:jc w:val="center"/>
        <w:rPr>
          <w:b/>
          <w:bCs/>
          <w:lang w:val="en-GB"/>
        </w:rPr>
      </w:pPr>
    </w:p>
    <w:p w14:paraId="0625D3D3" w14:textId="77777777" w:rsidR="00C07114" w:rsidRPr="00B85E4D" w:rsidRDefault="00C07114" w:rsidP="00C07114">
      <w:pPr>
        <w:spacing w:after="0"/>
        <w:ind w:firstLine="708"/>
        <w:rPr>
          <w:sz w:val="24"/>
          <w:szCs w:val="24"/>
          <w:lang w:val="en-GB"/>
        </w:rPr>
      </w:pPr>
      <w:r w:rsidRPr="00B85E4D">
        <w:rPr>
          <w:sz w:val="24"/>
          <w:szCs w:val="24"/>
          <w:lang w:val="en-GB"/>
        </w:rPr>
        <w:t xml:space="preserve">where: </w:t>
      </w:r>
    </w:p>
    <w:p w14:paraId="6BB76945" w14:textId="77777777" w:rsidR="00C07114" w:rsidRPr="00B85E4D" w:rsidRDefault="00C07114" w:rsidP="00C07114">
      <w:pPr>
        <w:spacing w:after="0"/>
        <w:jc w:val="both"/>
        <w:rPr>
          <w:sz w:val="24"/>
          <w:szCs w:val="24"/>
          <w:lang w:val="en-GB"/>
        </w:rPr>
      </w:pPr>
      <w:r w:rsidRPr="00B85E4D">
        <w:rPr>
          <w:sz w:val="24"/>
          <w:szCs w:val="24"/>
          <w:lang w:val="en-GB"/>
        </w:rPr>
        <w:t>l</w:t>
      </w:r>
      <w:r w:rsidRPr="00B85E4D">
        <w:rPr>
          <w:sz w:val="24"/>
          <w:szCs w:val="24"/>
          <w:lang w:val="en-GB"/>
        </w:rPr>
        <w:tab/>
        <w:t xml:space="preserve"> = the index that denotes the risk position; and </w:t>
      </w:r>
    </w:p>
    <w:p w14:paraId="28165F24" w14:textId="146954CE" w:rsidR="00C07114" w:rsidRPr="00B85E4D" w:rsidRDefault="00C07114" w:rsidP="00C07114">
      <w:pPr>
        <w:spacing w:after="0"/>
        <w:jc w:val="both"/>
        <w:rPr>
          <w:sz w:val="24"/>
          <w:szCs w:val="24"/>
          <w:lang w:val="en-GB"/>
        </w:rPr>
      </w:pPr>
      <w:proofErr w:type="spellStart"/>
      <w:proofErr w:type="gramStart"/>
      <w:r w:rsidRPr="00B85E4D">
        <w:rPr>
          <w:rFonts w:eastAsia="Times New Roman" w:cs="Times New Roman"/>
          <w:sz w:val="24"/>
          <w:szCs w:val="24"/>
          <w:lang w:val="en-GB" w:eastAsia="ro-MD"/>
        </w:rPr>
        <w:t>SF</w:t>
      </w:r>
      <w:r w:rsidRPr="00B85E4D">
        <w:rPr>
          <w:rFonts w:eastAsia="Times New Roman" w:cs="Times New Roman"/>
          <w:sz w:val="24"/>
          <w:szCs w:val="24"/>
          <w:vertAlign w:val="subscript"/>
          <w:lang w:val="en-GB" w:eastAsia="ro-MD"/>
        </w:rPr>
        <w:t>k,l</w:t>
      </w:r>
      <w:r w:rsidRPr="00B85E4D">
        <w:rPr>
          <w:rFonts w:eastAsia="Times New Roman" w:cs="Times New Roman"/>
          <w:sz w:val="24"/>
          <w:szCs w:val="24"/>
          <w:vertAlign w:val="superscript"/>
          <w:lang w:val="en-GB" w:eastAsia="ro-MD"/>
        </w:rPr>
        <w:t>Credit</w:t>
      </w:r>
      <w:proofErr w:type="spellEnd"/>
      <w:proofErr w:type="gramEnd"/>
      <w:r w:rsidRPr="00B85E4D">
        <w:rPr>
          <w:rFonts w:eastAsia="Times New Roman" w:cs="Times New Roman"/>
          <w:sz w:val="24"/>
          <w:szCs w:val="24"/>
          <w:lang w:val="en-GB" w:eastAsia="ro-MD"/>
        </w:rPr>
        <w:t xml:space="preserve"> </w:t>
      </w:r>
      <w:r w:rsidRPr="00B85E4D">
        <w:rPr>
          <w:sz w:val="24"/>
          <w:szCs w:val="24"/>
          <w:lang w:val="en-GB"/>
        </w:rPr>
        <w:t>= the factor established by National Bank of Moldova applicable to the credit reference entity k calculated in accordance with paragraph 87.</w:t>
      </w:r>
    </w:p>
    <w:p w14:paraId="018D8A84" w14:textId="77777777" w:rsidR="00C07114" w:rsidRPr="00B85E4D" w:rsidRDefault="00C07114" w:rsidP="00C07114">
      <w:pPr>
        <w:spacing w:after="0"/>
        <w:jc w:val="both"/>
        <w:rPr>
          <w:sz w:val="24"/>
          <w:szCs w:val="24"/>
          <w:lang w:val="en-GB"/>
        </w:rPr>
      </w:pPr>
    </w:p>
    <w:p w14:paraId="06B57064" w14:textId="3F285FC8" w:rsidR="00C07114" w:rsidRPr="00B85E4D" w:rsidRDefault="00C07114" w:rsidP="00C07114">
      <w:pPr>
        <w:spacing w:after="0"/>
        <w:ind w:firstLine="708"/>
        <w:jc w:val="both"/>
        <w:rPr>
          <w:b/>
          <w:bCs/>
          <w:sz w:val="24"/>
          <w:szCs w:val="24"/>
          <w:lang w:val="en-GB"/>
        </w:rPr>
      </w:pPr>
      <w:r w:rsidRPr="00B85E4D">
        <w:rPr>
          <w:b/>
          <w:bCs/>
          <w:sz w:val="24"/>
          <w:szCs w:val="24"/>
          <w:lang w:val="en-GB"/>
        </w:rPr>
        <w:t>87.</w:t>
      </w:r>
      <w:r w:rsidRPr="00B85E4D">
        <w:rPr>
          <w:sz w:val="24"/>
          <w:szCs w:val="24"/>
          <w:lang w:val="en-GB"/>
        </w:rPr>
        <w:t xml:space="preserve"> Banks shall calculate the factor </w:t>
      </w:r>
      <w:r w:rsidR="00FF4BB2" w:rsidRPr="00B85E4D">
        <w:rPr>
          <w:sz w:val="24"/>
          <w:szCs w:val="24"/>
          <w:lang w:val="en-GB"/>
        </w:rPr>
        <w:t xml:space="preserve">established by National Bank of Moldova </w:t>
      </w:r>
      <w:r w:rsidRPr="00B85E4D">
        <w:rPr>
          <w:sz w:val="24"/>
          <w:szCs w:val="24"/>
          <w:lang w:val="en-GB"/>
        </w:rPr>
        <w:t xml:space="preserve">applicable to the credit reference entity </w:t>
      </w:r>
      <w:r w:rsidRPr="00B85E4D">
        <w:rPr>
          <w:i/>
          <w:iCs/>
          <w:sz w:val="24"/>
          <w:szCs w:val="24"/>
          <w:lang w:val="en-GB"/>
        </w:rPr>
        <w:t>k</w:t>
      </w:r>
      <w:r w:rsidRPr="00B85E4D">
        <w:rPr>
          <w:sz w:val="24"/>
          <w:szCs w:val="24"/>
          <w:lang w:val="en-GB"/>
        </w:rPr>
        <w:t xml:space="preserve"> as follows:</w:t>
      </w:r>
    </w:p>
    <w:p w14:paraId="583994EE" w14:textId="77777777" w:rsidR="00C07114" w:rsidRPr="00B85E4D" w:rsidRDefault="00C07114" w:rsidP="00FF4BB2">
      <w:pPr>
        <w:spacing w:after="0"/>
        <w:rPr>
          <w:b/>
          <w:bCs/>
          <w:lang w:val="en-GB"/>
        </w:rPr>
      </w:pPr>
    </w:p>
    <w:p w14:paraId="585FB1E3" w14:textId="77777777" w:rsidR="00FF4BB2" w:rsidRPr="00B85E4D" w:rsidRDefault="00FF4BB2" w:rsidP="00FF4BB2">
      <w:pPr>
        <w:spacing w:after="0"/>
        <w:ind w:firstLine="708"/>
        <w:rPr>
          <w:sz w:val="24"/>
          <w:szCs w:val="24"/>
          <w:lang w:val="en-GB"/>
        </w:rPr>
      </w:pPr>
      <w:r w:rsidRPr="00B85E4D">
        <w:rPr>
          <w:sz w:val="24"/>
          <w:szCs w:val="24"/>
          <w:lang w:val="en-GB"/>
        </w:rPr>
        <w:t xml:space="preserve">87.1. for the credit reference entity </w:t>
      </w:r>
      <w:r w:rsidRPr="00B85E4D">
        <w:rPr>
          <w:i/>
          <w:iCs/>
          <w:sz w:val="24"/>
          <w:szCs w:val="24"/>
          <w:lang w:val="en-GB"/>
        </w:rPr>
        <w:t>k</w:t>
      </w:r>
      <w:r w:rsidRPr="00B85E4D">
        <w:rPr>
          <w:sz w:val="24"/>
          <w:szCs w:val="24"/>
          <w:lang w:val="en-GB"/>
        </w:rPr>
        <w:t xml:space="preserve"> established in accordance with paragraph 83, subparagraph 83.1.</w:t>
      </w:r>
    </w:p>
    <w:p w14:paraId="0B7437E3" w14:textId="0E2792B9" w:rsidR="00FF4BB2" w:rsidRPr="00B85E4D" w:rsidRDefault="00FF4BB2" w:rsidP="00FF4BB2">
      <w:pPr>
        <w:spacing w:after="0"/>
        <w:jc w:val="center"/>
        <w:rPr>
          <w:sz w:val="24"/>
          <w:szCs w:val="24"/>
          <w:lang w:val="en-GB"/>
        </w:rPr>
      </w:pPr>
      <w:proofErr w:type="spellStart"/>
      <w:proofErr w:type="gramStart"/>
      <w:r w:rsidRPr="00B85E4D">
        <w:rPr>
          <w:rFonts w:eastAsia="Times New Roman" w:cs="Times New Roman"/>
          <w:sz w:val="24"/>
          <w:szCs w:val="24"/>
          <w:lang w:val="en-GB" w:eastAsia="ro-MD"/>
        </w:rPr>
        <w:lastRenderedPageBreak/>
        <w:t>SF</w:t>
      </w:r>
      <w:r w:rsidRPr="00B85E4D">
        <w:rPr>
          <w:rFonts w:eastAsia="Times New Roman" w:cs="Times New Roman"/>
          <w:sz w:val="24"/>
          <w:szCs w:val="24"/>
          <w:vertAlign w:val="subscript"/>
          <w:lang w:val="en-GB" w:eastAsia="ro-MD"/>
        </w:rPr>
        <w:t>k,l</w:t>
      </w:r>
      <w:r w:rsidRPr="00B85E4D">
        <w:rPr>
          <w:rFonts w:eastAsia="Times New Roman" w:cs="Times New Roman"/>
          <w:sz w:val="24"/>
          <w:szCs w:val="24"/>
          <w:vertAlign w:val="superscript"/>
          <w:lang w:val="en-GB" w:eastAsia="ro-MD"/>
        </w:rPr>
        <w:t>Credit</w:t>
      </w:r>
      <w:proofErr w:type="spellEnd"/>
      <w:proofErr w:type="gramEnd"/>
    </w:p>
    <w:p w14:paraId="1FA6326E" w14:textId="77777777" w:rsidR="00FF4BB2" w:rsidRPr="00B85E4D" w:rsidRDefault="00FF4BB2" w:rsidP="00FF4BB2">
      <w:pPr>
        <w:spacing w:after="0"/>
        <w:ind w:firstLine="708"/>
        <w:jc w:val="both"/>
        <w:rPr>
          <w:sz w:val="24"/>
          <w:szCs w:val="24"/>
          <w:lang w:val="en-GB"/>
        </w:rPr>
      </w:pPr>
      <w:r w:rsidRPr="00B85E4D">
        <w:rPr>
          <w:sz w:val="24"/>
          <w:szCs w:val="24"/>
          <w:lang w:val="en-GB"/>
        </w:rPr>
        <w:t xml:space="preserve">shall be mapped to one of the six factors established by National Bank of Moldova set out in Table 3 on the basis of an external credit assessment by a nominated ECAI of the corresponding individual </w:t>
      </w:r>
      <w:proofErr w:type="gramStart"/>
      <w:r w:rsidRPr="00B85E4D">
        <w:rPr>
          <w:sz w:val="24"/>
          <w:szCs w:val="24"/>
          <w:lang w:val="en-GB"/>
        </w:rPr>
        <w:t>issuer;</w:t>
      </w:r>
      <w:proofErr w:type="gramEnd"/>
      <w:r w:rsidRPr="00B85E4D">
        <w:rPr>
          <w:sz w:val="24"/>
          <w:szCs w:val="24"/>
          <w:lang w:val="en-GB"/>
        </w:rPr>
        <w:t xml:space="preserve"> </w:t>
      </w:r>
    </w:p>
    <w:p w14:paraId="7664441B" w14:textId="59ADB699" w:rsidR="00FF4BB2" w:rsidRPr="00B85E4D" w:rsidRDefault="00FF4BB2" w:rsidP="00FF4BB2">
      <w:pPr>
        <w:spacing w:after="0"/>
        <w:ind w:firstLine="708"/>
        <w:jc w:val="both"/>
        <w:rPr>
          <w:sz w:val="24"/>
          <w:szCs w:val="24"/>
          <w:lang w:val="en-GB"/>
        </w:rPr>
      </w:pPr>
      <w:r w:rsidRPr="00B85E4D">
        <w:rPr>
          <w:sz w:val="24"/>
          <w:szCs w:val="24"/>
          <w:lang w:val="en-GB"/>
        </w:rPr>
        <w:t xml:space="preserve">For an individual issuer for which a credit assessment by a nominated ECAI is not available, a bank using the Standardised Approach in accordance with the provisions of Regulation No.111/2018 shall </w:t>
      </w:r>
      <w:proofErr w:type="gramStart"/>
      <w:r w:rsidRPr="00B85E4D">
        <w:rPr>
          <w:sz w:val="24"/>
          <w:szCs w:val="24"/>
          <w:lang w:val="en-GB"/>
        </w:rPr>
        <w:t>map</w:t>
      </w:r>
      <w:proofErr w:type="gramEnd"/>
      <w:r w:rsidRPr="00B85E4D">
        <w:rPr>
          <w:sz w:val="24"/>
          <w:szCs w:val="24"/>
          <w:lang w:val="en-GB"/>
        </w:rPr>
        <w:t xml:space="preserve">  </w:t>
      </w:r>
    </w:p>
    <w:p w14:paraId="1117DCB5" w14:textId="2E054C61" w:rsidR="00FF4BB2" w:rsidRPr="00B85E4D" w:rsidRDefault="00FF4BB2" w:rsidP="00FF4BB2">
      <w:pPr>
        <w:spacing w:after="0"/>
        <w:jc w:val="center"/>
        <w:rPr>
          <w:sz w:val="24"/>
          <w:szCs w:val="24"/>
          <w:lang w:val="en-GB"/>
        </w:rPr>
      </w:pPr>
      <w:proofErr w:type="spellStart"/>
      <w:proofErr w:type="gramStart"/>
      <w:r w:rsidRPr="00B85E4D">
        <w:rPr>
          <w:rFonts w:eastAsia="Times New Roman" w:cs="Times New Roman"/>
          <w:sz w:val="24"/>
          <w:szCs w:val="24"/>
          <w:lang w:val="en-GB" w:eastAsia="ro-MD"/>
        </w:rPr>
        <w:t>SF</w:t>
      </w:r>
      <w:r w:rsidRPr="00B85E4D">
        <w:rPr>
          <w:rFonts w:eastAsia="Times New Roman" w:cs="Times New Roman"/>
          <w:sz w:val="24"/>
          <w:szCs w:val="24"/>
          <w:vertAlign w:val="subscript"/>
          <w:lang w:val="en-GB" w:eastAsia="ro-MD"/>
        </w:rPr>
        <w:t>k,l</w:t>
      </w:r>
      <w:r w:rsidRPr="00B85E4D">
        <w:rPr>
          <w:rFonts w:eastAsia="Times New Roman" w:cs="Times New Roman"/>
          <w:sz w:val="24"/>
          <w:szCs w:val="24"/>
          <w:vertAlign w:val="superscript"/>
          <w:lang w:val="en-GB" w:eastAsia="ro-MD"/>
        </w:rPr>
        <w:t>Credit</w:t>
      </w:r>
      <w:proofErr w:type="spellEnd"/>
      <w:proofErr w:type="gramEnd"/>
      <w:r w:rsidRPr="00B85E4D">
        <w:rPr>
          <w:rFonts w:eastAsia="Times New Roman" w:cs="Times New Roman"/>
          <w:sz w:val="24"/>
          <w:szCs w:val="24"/>
          <w:lang w:val="en-GB" w:eastAsia="ro-MD"/>
        </w:rPr>
        <w:t>=</w:t>
      </w:r>
      <w:r w:rsidRPr="00B85E4D">
        <w:rPr>
          <w:rFonts w:eastAsia="Times New Roman" w:cs="Times New Roman"/>
          <w:sz w:val="24"/>
          <w:szCs w:val="24"/>
          <w:vertAlign w:val="superscript"/>
          <w:lang w:val="en-GB" w:eastAsia="ro-MD"/>
        </w:rPr>
        <w:t xml:space="preserve"> </w:t>
      </w:r>
      <w:r w:rsidRPr="00B85E4D">
        <w:rPr>
          <w:sz w:val="24"/>
          <w:szCs w:val="24"/>
          <w:lang w:val="en-GB"/>
        </w:rPr>
        <w:t>0.54%</w:t>
      </w:r>
    </w:p>
    <w:p w14:paraId="3D7BA2F6" w14:textId="77777777" w:rsidR="00FF4BB2" w:rsidRPr="00B85E4D" w:rsidRDefault="00FF4BB2" w:rsidP="00FF4BB2">
      <w:pPr>
        <w:spacing w:after="0"/>
        <w:ind w:firstLine="708"/>
        <w:rPr>
          <w:lang w:val="en-GB"/>
        </w:rPr>
      </w:pPr>
    </w:p>
    <w:p w14:paraId="09744FDE" w14:textId="27694477" w:rsidR="00FF4BB2" w:rsidRPr="00B85E4D" w:rsidRDefault="00FF4BB2" w:rsidP="00FF4BB2">
      <w:pPr>
        <w:spacing w:after="0"/>
        <w:ind w:firstLine="708"/>
        <w:jc w:val="both"/>
        <w:rPr>
          <w:sz w:val="24"/>
          <w:szCs w:val="24"/>
          <w:lang w:val="en-GB"/>
        </w:rPr>
      </w:pPr>
      <w:r w:rsidRPr="00B85E4D">
        <w:rPr>
          <w:sz w:val="24"/>
          <w:szCs w:val="24"/>
          <w:lang w:val="en-GB"/>
        </w:rPr>
        <w:t>to the respective credit reference entity. However, where the bank applies the counterparty credit risk treatment applicable to subordinated debt exposures in order to risk-weight the counterparty credit risk exposures to that individual issuer, it shall assign</w:t>
      </w:r>
      <w:r w:rsidRPr="00B85E4D">
        <w:rPr>
          <w:rFonts w:eastAsia="Times New Roman" w:cs="Times New Roman"/>
          <w:sz w:val="24"/>
          <w:szCs w:val="24"/>
          <w:lang w:val="en-GB" w:eastAsia="ro-MD"/>
        </w:rPr>
        <w:t xml:space="preserve"> </w:t>
      </w:r>
      <w:proofErr w:type="spellStart"/>
      <w:proofErr w:type="gramStart"/>
      <w:r w:rsidRPr="00B85E4D">
        <w:rPr>
          <w:rFonts w:eastAsia="Times New Roman" w:cs="Times New Roman"/>
          <w:sz w:val="24"/>
          <w:szCs w:val="24"/>
          <w:lang w:val="en-GB" w:eastAsia="ro-MD"/>
        </w:rPr>
        <w:t>SF</w:t>
      </w:r>
      <w:r w:rsidRPr="00B85E4D">
        <w:rPr>
          <w:rFonts w:eastAsia="Times New Roman" w:cs="Times New Roman"/>
          <w:sz w:val="24"/>
          <w:szCs w:val="24"/>
          <w:vertAlign w:val="subscript"/>
          <w:lang w:val="en-GB" w:eastAsia="ro-MD"/>
        </w:rPr>
        <w:t>k,l</w:t>
      </w:r>
      <w:r w:rsidRPr="00B85E4D">
        <w:rPr>
          <w:rFonts w:eastAsia="Times New Roman" w:cs="Times New Roman"/>
          <w:sz w:val="24"/>
          <w:szCs w:val="24"/>
          <w:vertAlign w:val="superscript"/>
          <w:lang w:val="en-GB" w:eastAsia="ro-MD"/>
        </w:rPr>
        <w:t>Credit</w:t>
      </w:r>
      <w:proofErr w:type="spellEnd"/>
      <w:proofErr w:type="gramEnd"/>
      <w:r w:rsidRPr="00B85E4D">
        <w:rPr>
          <w:rFonts w:eastAsia="Times New Roman" w:cs="Times New Roman"/>
          <w:sz w:val="24"/>
          <w:szCs w:val="24"/>
          <w:lang w:val="en-GB" w:eastAsia="ro-MD"/>
        </w:rPr>
        <w:t>=</w:t>
      </w:r>
      <w:r w:rsidRPr="00B85E4D">
        <w:rPr>
          <w:rFonts w:eastAsia="Times New Roman" w:cs="Times New Roman"/>
          <w:sz w:val="24"/>
          <w:szCs w:val="24"/>
          <w:vertAlign w:val="superscript"/>
          <w:lang w:val="en-GB" w:eastAsia="ro-MD"/>
        </w:rPr>
        <w:t xml:space="preserve"> </w:t>
      </w:r>
      <w:r w:rsidRPr="00B85E4D">
        <w:rPr>
          <w:sz w:val="24"/>
          <w:szCs w:val="24"/>
          <w:lang w:val="en-GB"/>
        </w:rPr>
        <w:t xml:space="preserve">1,6% </w:t>
      </w:r>
      <w:r w:rsidRPr="00B85E4D">
        <w:rPr>
          <w:b/>
          <w:bCs/>
          <w:sz w:val="24"/>
          <w:szCs w:val="24"/>
          <w:lang w:val="en-GB"/>
        </w:rPr>
        <w:t xml:space="preserve"> </w:t>
      </w:r>
      <w:r w:rsidRPr="00B85E4D">
        <w:rPr>
          <w:sz w:val="24"/>
          <w:szCs w:val="24"/>
          <w:lang w:val="en-GB"/>
        </w:rPr>
        <w:t>to the respective credit reference entity.</w:t>
      </w:r>
    </w:p>
    <w:p w14:paraId="6F81BA44" w14:textId="77777777" w:rsidR="00FF4BB2" w:rsidRPr="00B85E4D" w:rsidRDefault="00FF4BB2" w:rsidP="00FF4BB2">
      <w:pPr>
        <w:spacing w:after="0"/>
        <w:ind w:firstLine="708"/>
        <w:rPr>
          <w:sz w:val="24"/>
          <w:szCs w:val="24"/>
          <w:lang w:val="en-GB"/>
        </w:rPr>
      </w:pPr>
    </w:p>
    <w:p w14:paraId="5AE3C33A" w14:textId="00B9F9D5" w:rsidR="00FF4BB2" w:rsidRPr="00B85E4D" w:rsidRDefault="00FF4BB2" w:rsidP="00FF4BB2">
      <w:pPr>
        <w:spacing w:after="0"/>
        <w:ind w:firstLine="708"/>
        <w:rPr>
          <w:b/>
          <w:bCs/>
          <w:lang w:val="en-GB"/>
        </w:rPr>
      </w:pPr>
      <w:r w:rsidRPr="00B85E4D">
        <w:rPr>
          <w:lang w:val="en-GB"/>
        </w:rPr>
        <w:t xml:space="preserve"> </w:t>
      </w:r>
    </w:p>
    <w:p w14:paraId="5724156E" w14:textId="444855F2" w:rsidR="00FF4BB2" w:rsidRPr="00B85E4D" w:rsidRDefault="00FF4BB2" w:rsidP="00FF4BB2">
      <w:pPr>
        <w:spacing w:after="0"/>
        <w:jc w:val="right"/>
        <w:rPr>
          <w:rFonts w:eastAsia="Times New Roman" w:cs="Times New Roman"/>
          <w:sz w:val="24"/>
          <w:szCs w:val="24"/>
          <w:lang w:val="en-GB" w:eastAsia="ro-MD"/>
        </w:rPr>
      </w:pPr>
      <w:r w:rsidRPr="00B85E4D">
        <w:rPr>
          <w:rFonts w:eastAsia="Times New Roman" w:cs="Times New Roman"/>
          <w:i/>
          <w:iCs/>
          <w:sz w:val="24"/>
          <w:szCs w:val="24"/>
          <w:lang w:val="en-GB" w:eastAsia="ro-MD"/>
        </w:rPr>
        <w:t>Table 3</w:t>
      </w:r>
    </w:p>
    <w:p w14:paraId="1E570424" w14:textId="77777777" w:rsidR="00FF4BB2" w:rsidRPr="00B85E4D" w:rsidRDefault="00FF4BB2" w:rsidP="00FF4BB2">
      <w:pPr>
        <w:spacing w:after="0"/>
        <w:ind w:firstLine="567"/>
        <w:jc w:val="both"/>
        <w:rPr>
          <w:rFonts w:eastAsia="Times New Roman" w:cs="Times New Roman"/>
          <w:sz w:val="24"/>
          <w:szCs w:val="24"/>
          <w:lang w:val="en-GB" w:eastAsia="ro-MD"/>
        </w:rPr>
      </w:pPr>
      <w:r w:rsidRPr="00B85E4D">
        <w:rPr>
          <w:rFonts w:eastAsia="Times New Roman" w:cs="Times New Roman"/>
          <w:sz w:val="24"/>
          <w:szCs w:val="24"/>
          <w:lang w:val="en-GB" w:eastAsia="ro-MD"/>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1164"/>
        <w:gridCol w:w="3505"/>
      </w:tblGrid>
      <w:tr w:rsidR="00FF4BB2" w:rsidRPr="00B85E4D" w14:paraId="19A1EB9D"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3A4D5F" w14:textId="39E424EF"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b/>
                <w:bCs/>
                <w:sz w:val="24"/>
                <w:szCs w:val="24"/>
                <w:lang w:val="en-GB" w:eastAsia="ro-MD"/>
              </w:rPr>
              <w:t>Credit quality step</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C64DC1" w14:textId="71D8C78B"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b/>
                <w:bCs/>
                <w:sz w:val="24"/>
                <w:szCs w:val="24"/>
                <w:lang w:val="en-GB" w:eastAsia="ro-MD"/>
              </w:rPr>
              <w:t>The factor established by the National Bank of Moldova for single-name transactions</w:t>
            </w:r>
          </w:p>
        </w:tc>
      </w:tr>
      <w:tr w:rsidR="00FF4BB2" w:rsidRPr="00B85E4D" w14:paraId="2291B942"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89B4E"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B0528"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0,38 %</w:t>
            </w:r>
          </w:p>
        </w:tc>
      </w:tr>
      <w:tr w:rsidR="00FF4BB2" w:rsidRPr="00B85E4D" w14:paraId="17D72D72"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CD7C4"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E5C4A"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0,42 %</w:t>
            </w:r>
          </w:p>
        </w:tc>
      </w:tr>
      <w:tr w:rsidR="00FF4BB2" w:rsidRPr="00B85E4D" w14:paraId="0533E346"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7287C"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8EE1F"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0,54 %</w:t>
            </w:r>
          </w:p>
        </w:tc>
      </w:tr>
      <w:tr w:rsidR="00FF4BB2" w:rsidRPr="00B85E4D" w14:paraId="3328C4DA"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296E6"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3BE50"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1,06 %</w:t>
            </w:r>
          </w:p>
        </w:tc>
      </w:tr>
      <w:tr w:rsidR="00FF4BB2" w:rsidRPr="00B85E4D" w14:paraId="06427307"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4A51B"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EC258"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1,6 %</w:t>
            </w:r>
          </w:p>
        </w:tc>
      </w:tr>
      <w:tr w:rsidR="00FF4BB2" w:rsidRPr="00B85E4D" w14:paraId="614A5939"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38AD7"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235E5" w14:textId="77777777" w:rsidR="00FF4BB2" w:rsidRPr="00B85E4D" w:rsidRDefault="00FF4BB2" w:rsidP="00FF4BB2">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6,0 %</w:t>
            </w:r>
          </w:p>
        </w:tc>
      </w:tr>
    </w:tbl>
    <w:p w14:paraId="63C67843" w14:textId="77777777" w:rsidR="00C07114" w:rsidRPr="00B85E4D" w:rsidRDefault="00C07114" w:rsidP="00B578C7">
      <w:pPr>
        <w:spacing w:after="0"/>
        <w:jc w:val="center"/>
        <w:rPr>
          <w:b/>
          <w:bCs/>
          <w:lang w:val="en-GB"/>
        </w:rPr>
      </w:pPr>
    </w:p>
    <w:p w14:paraId="40BC5EF3" w14:textId="77777777" w:rsidR="00C07114" w:rsidRPr="00B85E4D" w:rsidRDefault="00C07114" w:rsidP="00B578C7">
      <w:pPr>
        <w:spacing w:after="0"/>
        <w:jc w:val="center"/>
        <w:rPr>
          <w:b/>
          <w:bCs/>
          <w:lang w:val="en-GB"/>
        </w:rPr>
      </w:pPr>
    </w:p>
    <w:p w14:paraId="21C9781A" w14:textId="77777777" w:rsidR="00C65494" w:rsidRPr="00B85E4D" w:rsidRDefault="00C65494" w:rsidP="00C65494">
      <w:pPr>
        <w:spacing w:after="0"/>
        <w:ind w:firstLine="708"/>
        <w:jc w:val="both"/>
        <w:rPr>
          <w:sz w:val="24"/>
          <w:szCs w:val="24"/>
          <w:lang w:val="en-GB"/>
        </w:rPr>
      </w:pPr>
      <w:r w:rsidRPr="00B85E4D">
        <w:rPr>
          <w:sz w:val="24"/>
          <w:szCs w:val="24"/>
          <w:lang w:val="en-GB"/>
        </w:rPr>
        <w:t xml:space="preserve">87.2. For credit reference entities </w:t>
      </w:r>
      <w:r w:rsidRPr="00B85E4D">
        <w:rPr>
          <w:i/>
          <w:iCs/>
          <w:sz w:val="24"/>
          <w:szCs w:val="24"/>
          <w:lang w:val="en-GB"/>
        </w:rPr>
        <w:t>k</w:t>
      </w:r>
      <w:r w:rsidRPr="00B85E4D">
        <w:rPr>
          <w:sz w:val="24"/>
          <w:szCs w:val="24"/>
          <w:lang w:val="en-GB"/>
        </w:rPr>
        <w:t xml:space="preserve"> established in accordance with paragraph 83 subparagraph 83.2:</w:t>
      </w:r>
    </w:p>
    <w:p w14:paraId="1C45C82D" w14:textId="7FA2C30E" w:rsidR="00C65494" w:rsidRPr="00B85E4D" w:rsidRDefault="00C65494" w:rsidP="00C65494">
      <w:pPr>
        <w:spacing w:after="0"/>
        <w:ind w:firstLine="708"/>
        <w:jc w:val="both"/>
        <w:rPr>
          <w:sz w:val="24"/>
          <w:szCs w:val="24"/>
          <w:lang w:val="en-GB"/>
        </w:rPr>
      </w:pPr>
      <w:r w:rsidRPr="00B85E4D">
        <w:rPr>
          <w:sz w:val="24"/>
          <w:szCs w:val="24"/>
          <w:lang w:val="en-GB"/>
        </w:rPr>
        <w:t xml:space="preserve">87.2.1. Where a risk position </w:t>
      </w:r>
      <w:r w:rsidRPr="00B85E4D">
        <w:rPr>
          <w:i/>
          <w:iCs/>
          <w:sz w:val="24"/>
          <w:szCs w:val="24"/>
          <w:lang w:val="en-GB"/>
        </w:rPr>
        <w:t>l</w:t>
      </w:r>
      <w:r w:rsidRPr="00B85E4D">
        <w:rPr>
          <w:sz w:val="24"/>
          <w:szCs w:val="24"/>
          <w:lang w:val="en-GB"/>
        </w:rPr>
        <w:t xml:space="preserve"> assigned to the credit reference entity </w:t>
      </w:r>
      <w:r w:rsidRPr="00B85E4D">
        <w:rPr>
          <w:i/>
          <w:iCs/>
          <w:sz w:val="24"/>
          <w:szCs w:val="24"/>
          <w:lang w:val="en-GB"/>
        </w:rPr>
        <w:t>k</w:t>
      </w:r>
      <w:r w:rsidRPr="00B85E4D">
        <w:rPr>
          <w:sz w:val="24"/>
          <w:szCs w:val="24"/>
          <w:lang w:val="en-GB"/>
        </w:rPr>
        <w:t xml:space="preserve"> is a credit index traded on a recognised exchange, </w:t>
      </w:r>
      <w:proofErr w:type="spellStart"/>
      <w:proofErr w:type="gramStart"/>
      <w:r w:rsidRPr="00B85E4D">
        <w:rPr>
          <w:rFonts w:eastAsia="Times New Roman" w:cs="Times New Roman"/>
          <w:sz w:val="24"/>
          <w:szCs w:val="24"/>
          <w:lang w:val="en-GB" w:eastAsia="ro-MD"/>
        </w:rPr>
        <w:t>SF</w:t>
      </w:r>
      <w:r w:rsidRPr="00B85E4D">
        <w:rPr>
          <w:rFonts w:eastAsia="Times New Roman" w:cs="Times New Roman"/>
          <w:sz w:val="24"/>
          <w:szCs w:val="24"/>
          <w:vertAlign w:val="subscript"/>
          <w:lang w:val="en-GB" w:eastAsia="ro-MD"/>
        </w:rPr>
        <w:t>k,l</w:t>
      </w:r>
      <w:r w:rsidRPr="00B85E4D">
        <w:rPr>
          <w:rFonts w:eastAsia="Times New Roman" w:cs="Times New Roman"/>
          <w:sz w:val="24"/>
          <w:szCs w:val="24"/>
          <w:vertAlign w:val="superscript"/>
          <w:lang w:val="en-GB" w:eastAsia="ro-MD"/>
        </w:rPr>
        <w:t>Credit</w:t>
      </w:r>
      <w:proofErr w:type="spellEnd"/>
      <w:proofErr w:type="gramEnd"/>
      <w:r w:rsidRPr="00B85E4D">
        <w:rPr>
          <w:sz w:val="24"/>
          <w:szCs w:val="24"/>
          <w:lang w:val="en-GB"/>
        </w:rPr>
        <w:t xml:space="preserve"> shall be mapped to one of the two factors set out in Table 4, based on the credit quality of the majority of its individual constituents.</w:t>
      </w:r>
    </w:p>
    <w:p w14:paraId="50CB700E" w14:textId="363F6791" w:rsidR="00C07114" w:rsidRPr="00B85E4D" w:rsidRDefault="00C65494" w:rsidP="00C65494">
      <w:pPr>
        <w:spacing w:after="0"/>
        <w:jc w:val="both"/>
        <w:rPr>
          <w:sz w:val="24"/>
          <w:szCs w:val="24"/>
          <w:lang w:val="en-GB"/>
        </w:rPr>
      </w:pPr>
      <w:r w:rsidRPr="00B85E4D">
        <w:rPr>
          <w:sz w:val="24"/>
          <w:szCs w:val="24"/>
          <w:lang w:val="en-GB"/>
        </w:rPr>
        <w:tab/>
        <w:t xml:space="preserve">87.2.2. Where a risk position </w:t>
      </w:r>
      <w:r w:rsidRPr="00B85E4D">
        <w:rPr>
          <w:i/>
          <w:iCs/>
          <w:sz w:val="24"/>
          <w:szCs w:val="24"/>
          <w:lang w:val="en-GB"/>
        </w:rPr>
        <w:t>l</w:t>
      </w:r>
      <w:r w:rsidRPr="00B85E4D">
        <w:rPr>
          <w:sz w:val="24"/>
          <w:szCs w:val="24"/>
          <w:lang w:val="en-GB"/>
        </w:rPr>
        <w:t xml:space="preserve"> assigned to the credit reference entity </w:t>
      </w:r>
      <w:r w:rsidRPr="00B85E4D">
        <w:rPr>
          <w:i/>
          <w:iCs/>
          <w:sz w:val="24"/>
          <w:szCs w:val="24"/>
          <w:lang w:val="en-GB"/>
        </w:rPr>
        <w:t>k</w:t>
      </w:r>
      <w:r w:rsidRPr="00B85E4D">
        <w:rPr>
          <w:sz w:val="24"/>
          <w:szCs w:val="24"/>
          <w:lang w:val="en-GB"/>
        </w:rPr>
        <w:t xml:space="preserve"> is not referred to in subparagraph 87.2.1, </w:t>
      </w:r>
      <w:proofErr w:type="spellStart"/>
      <w:proofErr w:type="gramStart"/>
      <w:r w:rsidRPr="00B85E4D">
        <w:rPr>
          <w:rFonts w:eastAsia="Times New Roman" w:cs="Times New Roman"/>
          <w:sz w:val="24"/>
          <w:szCs w:val="24"/>
          <w:lang w:val="en-GB" w:eastAsia="ro-MD"/>
        </w:rPr>
        <w:t>SF</w:t>
      </w:r>
      <w:r w:rsidRPr="00B85E4D">
        <w:rPr>
          <w:rFonts w:eastAsia="Times New Roman" w:cs="Times New Roman"/>
          <w:sz w:val="24"/>
          <w:szCs w:val="24"/>
          <w:vertAlign w:val="subscript"/>
          <w:lang w:val="en-GB" w:eastAsia="ro-MD"/>
        </w:rPr>
        <w:t>k,l</w:t>
      </w:r>
      <w:r w:rsidRPr="00B85E4D">
        <w:rPr>
          <w:rFonts w:eastAsia="Times New Roman" w:cs="Times New Roman"/>
          <w:sz w:val="24"/>
          <w:szCs w:val="24"/>
          <w:vertAlign w:val="superscript"/>
          <w:lang w:val="en-GB" w:eastAsia="ro-MD"/>
        </w:rPr>
        <w:t>Credit</w:t>
      </w:r>
      <w:proofErr w:type="spellEnd"/>
      <w:proofErr w:type="gramEnd"/>
      <w:r w:rsidRPr="00B85E4D">
        <w:rPr>
          <w:sz w:val="24"/>
          <w:szCs w:val="24"/>
          <w:lang w:val="en-GB"/>
        </w:rPr>
        <w:t xml:space="preserve">  shall be the weighted average of the factors established by the National Bank of Moldova corresponding to each component in accordance with the method provided in subparagraph 87.1, the weights being given by the proportion of the notional value of the components included in that position.</w:t>
      </w:r>
    </w:p>
    <w:p w14:paraId="5C13A41C" w14:textId="77777777" w:rsidR="00C07114" w:rsidRPr="00B85E4D" w:rsidRDefault="00C07114" w:rsidP="00B578C7">
      <w:pPr>
        <w:spacing w:after="0"/>
        <w:jc w:val="center"/>
        <w:rPr>
          <w:b/>
          <w:bCs/>
          <w:lang w:val="en-GB"/>
        </w:rPr>
      </w:pPr>
    </w:p>
    <w:p w14:paraId="70623741" w14:textId="3B39AD14" w:rsidR="00C65494" w:rsidRPr="00B85E4D" w:rsidRDefault="00C65494" w:rsidP="00C65494">
      <w:pPr>
        <w:spacing w:after="0"/>
        <w:jc w:val="right"/>
        <w:rPr>
          <w:rFonts w:eastAsia="Times New Roman" w:cs="Times New Roman"/>
          <w:sz w:val="24"/>
          <w:szCs w:val="24"/>
          <w:lang w:val="en-GB" w:eastAsia="ro-MD"/>
        </w:rPr>
      </w:pPr>
      <w:r w:rsidRPr="00B85E4D">
        <w:rPr>
          <w:rFonts w:eastAsia="Times New Roman" w:cs="Times New Roman"/>
          <w:i/>
          <w:iCs/>
          <w:sz w:val="24"/>
          <w:szCs w:val="24"/>
          <w:lang w:val="en-GB" w:eastAsia="ro-MD"/>
        </w:rPr>
        <w:t>Table 4</w:t>
      </w:r>
    </w:p>
    <w:tbl>
      <w:tblPr>
        <w:tblW w:w="2500" w:type="pct"/>
        <w:jc w:val="center"/>
        <w:tblCellMar>
          <w:top w:w="15" w:type="dxa"/>
          <w:left w:w="15" w:type="dxa"/>
          <w:bottom w:w="15" w:type="dxa"/>
          <w:right w:w="15" w:type="dxa"/>
        </w:tblCellMar>
        <w:tblLook w:val="04A0" w:firstRow="1" w:lastRow="0" w:firstColumn="1" w:lastColumn="0" w:noHBand="0" w:noVBand="1"/>
      </w:tblPr>
      <w:tblGrid>
        <w:gridCol w:w="1952"/>
        <w:gridCol w:w="2717"/>
      </w:tblGrid>
      <w:tr w:rsidR="00C65494" w:rsidRPr="00B85E4D" w14:paraId="41175523"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EEB7D8" w14:textId="44734AA9" w:rsidR="00C65494" w:rsidRPr="00B85E4D" w:rsidRDefault="00C65494" w:rsidP="00C65494">
            <w:pPr>
              <w:spacing w:after="0"/>
              <w:jc w:val="center"/>
              <w:rPr>
                <w:rFonts w:eastAsia="Times New Roman" w:cs="Times New Roman"/>
                <w:sz w:val="24"/>
                <w:szCs w:val="24"/>
                <w:lang w:val="en-GB" w:eastAsia="ro-MD"/>
              </w:rPr>
            </w:pPr>
            <w:r w:rsidRPr="00B85E4D">
              <w:rPr>
                <w:rFonts w:eastAsia="Times New Roman" w:cs="Times New Roman"/>
                <w:b/>
                <w:bCs/>
                <w:sz w:val="24"/>
                <w:szCs w:val="24"/>
                <w:lang w:val="en-GB" w:eastAsia="ro-MD"/>
              </w:rPr>
              <w:t>Dominant credit quality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B0F9D6E" w14:textId="3CCA2AA6" w:rsidR="00C65494" w:rsidRPr="00B85E4D" w:rsidRDefault="00C65494" w:rsidP="00C65494">
            <w:pPr>
              <w:spacing w:after="0"/>
              <w:jc w:val="center"/>
              <w:rPr>
                <w:rFonts w:eastAsia="Times New Roman" w:cs="Times New Roman"/>
                <w:sz w:val="24"/>
                <w:szCs w:val="24"/>
                <w:lang w:val="en-GB" w:eastAsia="ro-MD"/>
              </w:rPr>
            </w:pPr>
            <w:r w:rsidRPr="00B85E4D">
              <w:rPr>
                <w:rFonts w:eastAsia="Times New Roman" w:cs="Times New Roman"/>
                <w:b/>
                <w:bCs/>
                <w:sz w:val="24"/>
                <w:szCs w:val="24"/>
                <w:lang w:val="en-GB" w:eastAsia="ro-MD"/>
              </w:rPr>
              <w:t>Factor established by the National Bank of Moldova for quoted indices</w:t>
            </w:r>
          </w:p>
        </w:tc>
      </w:tr>
      <w:tr w:rsidR="00C65494" w:rsidRPr="00B85E4D" w14:paraId="31A5CFE2"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729F7D5" w14:textId="5D4423AC" w:rsidR="00C65494" w:rsidRPr="00B85E4D" w:rsidRDefault="00C65494" w:rsidP="00C65494">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Investment grade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5713B" w14:textId="77777777" w:rsidR="00C65494" w:rsidRPr="00B85E4D" w:rsidRDefault="00C65494" w:rsidP="00C65494">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0,38 %</w:t>
            </w:r>
          </w:p>
        </w:tc>
      </w:tr>
      <w:tr w:rsidR="00C65494" w:rsidRPr="00B85E4D" w14:paraId="6DD0429D" w14:textId="77777777" w:rsidTr="00D108A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4D6B6" w14:textId="284CBD03" w:rsidR="00C65494" w:rsidRPr="00B85E4D" w:rsidRDefault="00C65494" w:rsidP="00C65494">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Non-investment grade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DD424" w14:textId="77777777" w:rsidR="00C65494" w:rsidRPr="00B85E4D" w:rsidRDefault="00C65494" w:rsidP="00C65494">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1,06 %</w:t>
            </w:r>
          </w:p>
        </w:tc>
      </w:tr>
    </w:tbl>
    <w:p w14:paraId="1FD12167" w14:textId="77777777" w:rsidR="00C07114" w:rsidRPr="00B85E4D" w:rsidRDefault="00C07114" w:rsidP="00B578C7">
      <w:pPr>
        <w:spacing w:after="0"/>
        <w:jc w:val="center"/>
        <w:rPr>
          <w:b/>
          <w:bCs/>
          <w:lang w:val="en-GB"/>
        </w:rPr>
      </w:pPr>
    </w:p>
    <w:p w14:paraId="2222D8EF" w14:textId="77777777" w:rsidR="00C07114" w:rsidRDefault="00C07114" w:rsidP="00B578C7">
      <w:pPr>
        <w:spacing w:after="0"/>
        <w:jc w:val="center"/>
        <w:rPr>
          <w:b/>
          <w:bCs/>
          <w:lang w:val="en-GB"/>
        </w:rPr>
      </w:pPr>
    </w:p>
    <w:p w14:paraId="14846A6C" w14:textId="77777777" w:rsidR="0087126B" w:rsidRDefault="0087126B" w:rsidP="00B578C7">
      <w:pPr>
        <w:spacing w:after="0"/>
        <w:jc w:val="center"/>
        <w:rPr>
          <w:b/>
          <w:bCs/>
          <w:lang w:val="en-GB"/>
        </w:rPr>
      </w:pPr>
    </w:p>
    <w:p w14:paraId="31F2B139" w14:textId="77777777" w:rsidR="0087126B" w:rsidRPr="00B85E4D" w:rsidRDefault="0087126B" w:rsidP="00B578C7">
      <w:pPr>
        <w:spacing w:after="0"/>
        <w:jc w:val="center"/>
        <w:rPr>
          <w:b/>
          <w:bCs/>
          <w:lang w:val="en-GB"/>
        </w:rPr>
      </w:pPr>
    </w:p>
    <w:p w14:paraId="582656B7" w14:textId="54B1BD16" w:rsidR="00C65494" w:rsidRPr="00D95028" w:rsidRDefault="00C65494" w:rsidP="00B578C7">
      <w:pPr>
        <w:spacing w:after="0"/>
        <w:jc w:val="center"/>
        <w:rPr>
          <w:b/>
          <w:bCs/>
          <w:sz w:val="24"/>
          <w:szCs w:val="24"/>
          <w:lang w:val="en-GB"/>
        </w:rPr>
      </w:pPr>
      <w:r w:rsidRPr="00D95028">
        <w:rPr>
          <w:i/>
          <w:iCs/>
          <w:sz w:val="24"/>
          <w:szCs w:val="24"/>
          <w:lang w:val="en-GB"/>
        </w:rPr>
        <w:t>Section 13</w:t>
      </w:r>
      <w:r w:rsidRPr="00D95028">
        <w:rPr>
          <w:i/>
          <w:iCs/>
          <w:sz w:val="24"/>
          <w:szCs w:val="24"/>
          <w:lang w:val="en-GB"/>
        </w:rPr>
        <w:br/>
      </w:r>
      <w:r w:rsidRPr="00D95028">
        <w:rPr>
          <w:b/>
          <w:bCs/>
          <w:sz w:val="24"/>
          <w:szCs w:val="24"/>
          <w:lang w:val="en-GB"/>
        </w:rPr>
        <w:t>Equity risk category add-on</w:t>
      </w:r>
    </w:p>
    <w:p w14:paraId="722DD5C1" w14:textId="77777777" w:rsidR="00C65494" w:rsidRPr="00B85E4D" w:rsidRDefault="00C65494" w:rsidP="00B578C7">
      <w:pPr>
        <w:spacing w:after="0"/>
        <w:jc w:val="center"/>
        <w:rPr>
          <w:b/>
          <w:bCs/>
          <w:lang w:val="en-GB"/>
        </w:rPr>
      </w:pPr>
    </w:p>
    <w:p w14:paraId="621B2E08" w14:textId="77777777" w:rsidR="00C65494" w:rsidRPr="00B85E4D" w:rsidRDefault="00C65494" w:rsidP="00C65494">
      <w:pPr>
        <w:spacing w:after="0"/>
        <w:ind w:firstLine="708"/>
        <w:jc w:val="both"/>
        <w:rPr>
          <w:sz w:val="24"/>
          <w:szCs w:val="24"/>
          <w:lang w:val="en-GB"/>
        </w:rPr>
      </w:pPr>
      <w:r w:rsidRPr="00B85E4D">
        <w:rPr>
          <w:b/>
          <w:bCs/>
          <w:sz w:val="24"/>
          <w:szCs w:val="24"/>
          <w:lang w:val="en-GB"/>
        </w:rPr>
        <w:t>88.</w:t>
      </w:r>
      <w:r w:rsidRPr="00B85E4D">
        <w:rPr>
          <w:sz w:val="24"/>
          <w:szCs w:val="24"/>
          <w:lang w:val="en-GB"/>
        </w:rPr>
        <w:t xml:space="preserve"> For the purposes of paragraph 89, banks shall establish the relevant equity reference entities of the netting </w:t>
      </w:r>
      <w:proofErr w:type="gramStart"/>
      <w:r w:rsidRPr="00B85E4D">
        <w:rPr>
          <w:sz w:val="24"/>
          <w:szCs w:val="24"/>
          <w:lang w:val="en-GB"/>
        </w:rPr>
        <w:t>set in</w:t>
      </w:r>
      <w:proofErr w:type="gramEnd"/>
      <w:r w:rsidRPr="00B85E4D">
        <w:rPr>
          <w:sz w:val="24"/>
          <w:szCs w:val="24"/>
          <w:lang w:val="en-GB"/>
        </w:rPr>
        <w:t xml:space="preserve"> accordance with the following: </w:t>
      </w:r>
    </w:p>
    <w:p w14:paraId="42D49248" w14:textId="77777777" w:rsidR="00C65494" w:rsidRPr="00B85E4D" w:rsidRDefault="00C65494" w:rsidP="00C65494">
      <w:pPr>
        <w:spacing w:after="0"/>
        <w:ind w:firstLine="708"/>
        <w:jc w:val="both"/>
        <w:rPr>
          <w:sz w:val="24"/>
          <w:szCs w:val="24"/>
          <w:lang w:val="en-GB"/>
        </w:rPr>
      </w:pPr>
      <w:r w:rsidRPr="00B85E4D">
        <w:rPr>
          <w:sz w:val="24"/>
          <w:szCs w:val="24"/>
          <w:lang w:val="en-GB"/>
        </w:rPr>
        <w:t xml:space="preserve">88.1. there shall be one equity reference entity for each issuer of a reference equity instrument that underlies a single-name transaction allocated to the equity risk category; single-name transactions shall be assigned to the same equity reference entity only where the underlying reference equity instrument of those transactions is issued by the same </w:t>
      </w:r>
      <w:proofErr w:type="gramStart"/>
      <w:r w:rsidRPr="00B85E4D">
        <w:rPr>
          <w:sz w:val="24"/>
          <w:szCs w:val="24"/>
          <w:lang w:val="en-GB"/>
        </w:rPr>
        <w:t>issuer;</w:t>
      </w:r>
      <w:proofErr w:type="gramEnd"/>
      <w:r w:rsidRPr="00B85E4D">
        <w:rPr>
          <w:sz w:val="24"/>
          <w:szCs w:val="24"/>
          <w:lang w:val="en-GB"/>
        </w:rPr>
        <w:t xml:space="preserve"> </w:t>
      </w:r>
    </w:p>
    <w:p w14:paraId="1785262D" w14:textId="6AEE9B0C" w:rsidR="00C65494" w:rsidRPr="00B85E4D" w:rsidRDefault="00C65494" w:rsidP="00C65494">
      <w:pPr>
        <w:spacing w:after="0"/>
        <w:ind w:firstLine="708"/>
        <w:jc w:val="both"/>
        <w:rPr>
          <w:sz w:val="24"/>
          <w:szCs w:val="24"/>
          <w:lang w:val="en-GB"/>
        </w:rPr>
      </w:pPr>
      <w:r w:rsidRPr="00B85E4D">
        <w:rPr>
          <w:sz w:val="24"/>
          <w:szCs w:val="24"/>
          <w:lang w:val="en-GB"/>
        </w:rPr>
        <w:t>88.2. there shall be one equity reference entity for each group of reference equity instruments or single-name equity derivatives that underlie a multi-name transaction allocated to the equity risk category; multi-names transactions shall be assigned to the same equity reference entity only where the group of underlying reference equity instruments or single-name equity derivatives of those transactions, as applicable, has the same constituents.</w:t>
      </w:r>
    </w:p>
    <w:p w14:paraId="73E5E473" w14:textId="77777777" w:rsidR="00C65494" w:rsidRPr="00B85E4D" w:rsidRDefault="00C65494" w:rsidP="00C65494">
      <w:pPr>
        <w:spacing w:after="0"/>
        <w:rPr>
          <w:b/>
          <w:bCs/>
          <w:lang w:val="en-GB"/>
        </w:rPr>
      </w:pPr>
    </w:p>
    <w:p w14:paraId="61F09352" w14:textId="3734F98B" w:rsidR="00C65494" w:rsidRPr="00B85E4D" w:rsidRDefault="00C65494" w:rsidP="00C65494">
      <w:pPr>
        <w:spacing w:after="0"/>
        <w:ind w:firstLine="708"/>
        <w:rPr>
          <w:sz w:val="24"/>
          <w:szCs w:val="24"/>
          <w:lang w:val="en-GB"/>
        </w:rPr>
      </w:pPr>
      <w:r w:rsidRPr="00B85E4D">
        <w:rPr>
          <w:sz w:val="24"/>
          <w:szCs w:val="24"/>
          <w:lang w:val="en-GB"/>
        </w:rPr>
        <w:t>89. For the purposes of paragraphs 66-68, banks shall calculate the equity risk category add-on for a given netting set as follows:</w:t>
      </w:r>
    </w:p>
    <w:p w14:paraId="48307225" w14:textId="2D701ADC" w:rsidR="00C65494" w:rsidRPr="00B85E4D" w:rsidRDefault="00C65494" w:rsidP="00C65494">
      <w:pPr>
        <w:spacing w:after="0"/>
        <w:ind w:firstLine="708"/>
        <w:jc w:val="center"/>
        <w:rPr>
          <w:sz w:val="24"/>
          <w:szCs w:val="24"/>
          <w:lang w:val="en-GB"/>
        </w:rPr>
      </w:pPr>
      <w:r w:rsidRPr="00B85E4D">
        <w:rPr>
          <w:rFonts w:eastAsia="Times New Roman" w:cs="Times New Roman"/>
          <w:noProof/>
          <w:sz w:val="24"/>
          <w:szCs w:val="24"/>
          <w:lang w:val="en-GB" w:eastAsia="ro-MD"/>
        </w:rPr>
        <w:drawing>
          <wp:inline distT="0" distB="0" distL="0" distR="0" wp14:anchorId="511E5CA0" wp14:editId="14D43E8B">
            <wp:extent cx="2743583" cy="438211"/>
            <wp:effectExtent l="0" t="0" r="0" b="0"/>
            <wp:docPr id="181294699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46995" name=""/>
                    <pic:cNvPicPr/>
                  </pic:nvPicPr>
                  <pic:blipFill>
                    <a:blip r:embed="rId30"/>
                    <a:stretch>
                      <a:fillRect/>
                    </a:stretch>
                  </pic:blipFill>
                  <pic:spPr>
                    <a:xfrm>
                      <a:off x="0" y="0"/>
                      <a:ext cx="2743583" cy="438211"/>
                    </a:xfrm>
                    <a:prstGeom prst="rect">
                      <a:avLst/>
                    </a:prstGeom>
                  </pic:spPr>
                </pic:pic>
              </a:graphicData>
            </a:graphic>
          </wp:inline>
        </w:drawing>
      </w:r>
    </w:p>
    <w:p w14:paraId="1E367F93" w14:textId="77777777" w:rsidR="00C65494" w:rsidRPr="00B85E4D" w:rsidRDefault="00C65494" w:rsidP="00B578C7">
      <w:pPr>
        <w:spacing w:after="0"/>
        <w:jc w:val="center"/>
        <w:rPr>
          <w:b/>
          <w:bCs/>
          <w:lang w:val="en-GB"/>
        </w:rPr>
      </w:pPr>
    </w:p>
    <w:p w14:paraId="5BC273E8" w14:textId="77777777" w:rsidR="00C65494" w:rsidRPr="00B85E4D" w:rsidRDefault="00C65494" w:rsidP="00C65494">
      <w:pPr>
        <w:spacing w:after="0"/>
        <w:rPr>
          <w:sz w:val="24"/>
          <w:szCs w:val="24"/>
          <w:lang w:val="en-GB"/>
        </w:rPr>
      </w:pPr>
      <w:r w:rsidRPr="00B85E4D">
        <w:rPr>
          <w:sz w:val="24"/>
          <w:szCs w:val="24"/>
          <w:lang w:val="en-GB"/>
        </w:rPr>
        <w:t xml:space="preserve">where: </w:t>
      </w:r>
    </w:p>
    <w:p w14:paraId="7816DD62" w14:textId="77777777" w:rsidR="00C65494" w:rsidRPr="00B85E4D" w:rsidRDefault="00C65494" w:rsidP="00C65494">
      <w:pPr>
        <w:spacing w:after="0"/>
        <w:rPr>
          <w:sz w:val="24"/>
          <w:szCs w:val="24"/>
          <w:lang w:val="en-GB"/>
        </w:rPr>
      </w:pPr>
      <w:proofErr w:type="spellStart"/>
      <w:r w:rsidRPr="00B85E4D">
        <w:rPr>
          <w:sz w:val="24"/>
          <w:szCs w:val="24"/>
          <w:lang w:val="en-GB"/>
        </w:rPr>
        <w:t>AddOn</w:t>
      </w:r>
      <w:r w:rsidRPr="00B85E4D">
        <w:rPr>
          <w:sz w:val="24"/>
          <w:szCs w:val="24"/>
          <w:vertAlign w:val="superscript"/>
          <w:lang w:val="en-GB"/>
        </w:rPr>
        <w:t>Equity</w:t>
      </w:r>
      <w:proofErr w:type="spellEnd"/>
      <w:r w:rsidRPr="00B85E4D">
        <w:rPr>
          <w:sz w:val="24"/>
          <w:szCs w:val="24"/>
          <w:lang w:val="en-GB"/>
        </w:rPr>
        <w:t xml:space="preserve"> = the equity risk category </w:t>
      </w:r>
      <w:proofErr w:type="gramStart"/>
      <w:r w:rsidRPr="00B85E4D">
        <w:rPr>
          <w:sz w:val="24"/>
          <w:szCs w:val="24"/>
          <w:lang w:val="en-GB"/>
        </w:rPr>
        <w:t>add-on;</w:t>
      </w:r>
      <w:proofErr w:type="gramEnd"/>
      <w:r w:rsidRPr="00B85E4D">
        <w:rPr>
          <w:sz w:val="24"/>
          <w:szCs w:val="24"/>
          <w:lang w:val="en-GB"/>
        </w:rPr>
        <w:t xml:space="preserve"> </w:t>
      </w:r>
    </w:p>
    <w:p w14:paraId="6844D168" w14:textId="1EEDFB8C" w:rsidR="00C65494" w:rsidRPr="00B85E4D" w:rsidRDefault="00C65494" w:rsidP="00C65494">
      <w:pPr>
        <w:spacing w:after="0"/>
        <w:rPr>
          <w:sz w:val="24"/>
          <w:szCs w:val="24"/>
          <w:lang w:val="en-GB"/>
        </w:rPr>
      </w:pPr>
      <w:r w:rsidRPr="00B85E4D">
        <w:rPr>
          <w:sz w:val="24"/>
          <w:szCs w:val="24"/>
          <w:lang w:val="en-GB"/>
        </w:rPr>
        <w:t xml:space="preserve">j = the index that denotes all the equity risk hedging sets established in accordance with paragraph 59, subparagraph 59.4. and paragraphs 61-64 for the netting set; and </w:t>
      </w:r>
    </w:p>
    <w:p w14:paraId="1C488011" w14:textId="46E24B23" w:rsidR="00C65494" w:rsidRPr="00B85E4D" w:rsidRDefault="00C65494" w:rsidP="00C65494">
      <w:pPr>
        <w:spacing w:after="0"/>
        <w:rPr>
          <w:sz w:val="24"/>
          <w:szCs w:val="24"/>
          <w:lang w:val="en-GB"/>
        </w:rPr>
      </w:pPr>
      <w:proofErr w:type="spellStart"/>
      <w:proofErr w:type="gramStart"/>
      <w:r w:rsidRPr="00B85E4D">
        <w:rPr>
          <w:sz w:val="24"/>
          <w:szCs w:val="24"/>
          <w:lang w:val="en-GB"/>
        </w:rPr>
        <w:t>AddOn</w:t>
      </w:r>
      <w:r w:rsidRPr="00B85E4D">
        <w:rPr>
          <w:sz w:val="24"/>
          <w:szCs w:val="24"/>
          <w:vertAlign w:val="subscript"/>
          <w:lang w:val="en-GB"/>
        </w:rPr>
        <w:t>j</w:t>
      </w:r>
      <w:r w:rsidRPr="00B85E4D">
        <w:rPr>
          <w:sz w:val="24"/>
          <w:szCs w:val="24"/>
          <w:vertAlign w:val="superscript"/>
          <w:lang w:val="en-GB"/>
        </w:rPr>
        <w:t>Equity</w:t>
      </w:r>
      <w:proofErr w:type="spellEnd"/>
      <w:r w:rsidRPr="00B85E4D">
        <w:rPr>
          <w:sz w:val="24"/>
          <w:szCs w:val="24"/>
          <w:vertAlign w:val="superscript"/>
          <w:lang w:val="en-GB"/>
        </w:rPr>
        <w:t xml:space="preserve"> </w:t>
      </w:r>
      <w:r w:rsidRPr="00B85E4D">
        <w:rPr>
          <w:sz w:val="24"/>
          <w:szCs w:val="24"/>
          <w:lang w:val="en-GB"/>
        </w:rPr>
        <w:t xml:space="preserve"> =</w:t>
      </w:r>
      <w:proofErr w:type="gramEnd"/>
      <w:r w:rsidRPr="00B85E4D">
        <w:rPr>
          <w:sz w:val="24"/>
          <w:szCs w:val="24"/>
          <w:lang w:val="en-GB"/>
        </w:rPr>
        <w:t xml:space="preserve"> the equity risk category add-on for hedging set j calculated in accordance with paragraph </w:t>
      </w:r>
      <w:r w:rsidR="002F2B6A" w:rsidRPr="00B85E4D">
        <w:rPr>
          <w:sz w:val="24"/>
          <w:szCs w:val="24"/>
          <w:lang w:val="en-GB"/>
        </w:rPr>
        <w:t>90.</w:t>
      </w:r>
    </w:p>
    <w:p w14:paraId="730826B4" w14:textId="77777777" w:rsidR="00C65494" w:rsidRPr="00B85E4D" w:rsidRDefault="00C65494" w:rsidP="00C65494">
      <w:pPr>
        <w:spacing w:after="0"/>
        <w:rPr>
          <w:sz w:val="24"/>
          <w:szCs w:val="24"/>
          <w:lang w:val="en-GB"/>
        </w:rPr>
      </w:pPr>
    </w:p>
    <w:p w14:paraId="076CD022" w14:textId="404E85BD" w:rsidR="00C65494" w:rsidRPr="00B85E4D" w:rsidRDefault="002F2B6A" w:rsidP="002F2B6A">
      <w:pPr>
        <w:spacing w:after="0"/>
        <w:ind w:firstLine="708"/>
        <w:rPr>
          <w:b/>
          <w:bCs/>
          <w:sz w:val="24"/>
          <w:szCs w:val="24"/>
          <w:lang w:val="en-GB"/>
        </w:rPr>
      </w:pPr>
      <w:r w:rsidRPr="00B85E4D">
        <w:rPr>
          <w:b/>
          <w:bCs/>
          <w:sz w:val="24"/>
          <w:szCs w:val="24"/>
          <w:lang w:val="en-GB"/>
        </w:rPr>
        <w:t>90.</w:t>
      </w:r>
      <w:r w:rsidR="00C65494" w:rsidRPr="00B85E4D">
        <w:rPr>
          <w:sz w:val="24"/>
          <w:szCs w:val="24"/>
          <w:lang w:val="en-GB"/>
        </w:rPr>
        <w:t xml:space="preserve"> </w:t>
      </w:r>
      <w:r w:rsidRPr="00B85E4D">
        <w:rPr>
          <w:sz w:val="24"/>
          <w:szCs w:val="24"/>
          <w:lang w:val="en-GB"/>
        </w:rPr>
        <w:t>Banks</w:t>
      </w:r>
      <w:r w:rsidR="00C65494" w:rsidRPr="00B85E4D">
        <w:rPr>
          <w:sz w:val="24"/>
          <w:szCs w:val="24"/>
          <w:lang w:val="en-GB"/>
        </w:rPr>
        <w:t xml:space="preserve"> shall calculate the equity risk category add-on for hedging set j as follows:</w:t>
      </w:r>
    </w:p>
    <w:p w14:paraId="6E490B3F" w14:textId="11CF6985" w:rsidR="00C65494" w:rsidRPr="00B85E4D" w:rsidRDefault="002F2B6A" w:rsidP="002F2B6A">
      <w:pPr>
        <w:spacing w:after="0"/>
        <w:jc w:val="center"/>
        <w:rPr>
          <w:b/>
          <w:bCs/>
          <w:lang w:val="en-GB"/>
        </w:rPr>
      </w:pPr>
      <w:r w:rsidRPr="00B85E4D">
        <w:rPr>
          <w:b/>
          <w:bCs/>
          <w:noProof/>
          <w:lang w:val="en-GB"/>
        </w:rPr>
        <w:drawing>
          <wp:inline distT="0" distB="0" distL="0" distR="0" wp14:anchorId="5D0FCFB5" wp14:editId="42A03C07">
            <wp:extent cx="4715533" cy="695422"/>
            <wp:effectExtent l="0" t="0" r="8890" b="9525"/>
            <wp:docPr id="6631011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01174" name=""/>
                    <pic:cNvPicPr/>
                  </pic:nvPicPr>
                  <pic:blipFill>
                    <a:blip r:embed="rId31"/>
                    <a:stretch>
                      <a:fillRect/>
                    </a:stretch>
                  </pic:blipFill>
                  <pic:spPr>
                    <a:xfrm>
                      <a:off x="0" y="0"/>
                      <a:ext cx="4715533" cy="695422"/>
                    </a:xfrm>
                    <a:prstGeom prst="rect">
                      <a:avLst/>
                    </a:prstGeom>
                  </pic:spPr>
                </pic:pic>
              </a:graphicData>
            </a:graphic>
          </wp:inline>
        </w:drawing>
      </w:r>
    </w:p>
    <w:p w14:paraId="1CBB3643" w14:textId="77777777" w:rsidR="002F2B6A" w:rsidRPr="00B85E4D" w:rsidRDefault="002F2B6A" w:rsidP="002F2B6A">
      <w:pPr>
        <w:spacing w:after="0"/>
        <w:rPr>
          <w:sz w:val="24"/>
          <w:szCs w:val="24"/>
          <w:lang w:val="en-GB"/>
        </w:rPr>
      </w:pPr>
      <w:r w:rsidRPr="00B85E4D">
        <w:rPr>
          <w:sz w:val="24"/>
          <w:szCs w:val="24"/>
          <w:lang w:val="en-GB"/>
        </w:rPr>
        <w:t xml:space="preserve">where: </w:t>
      </w:r>
    </w:p>
    <w:p w14:paraId="311D310B" w14:textId="77777777" w:rsidR="002F2B6A" w:rsidRPr="00B85E4D" w:rsidRDefault="002F2B6A" w:rsidP="002F2B6A">
      <w:pPr>
        <w:spacing w:after="0"/>
        <w:rPr>
          <w:sz w:val="24"/>
          <w:szCs w:val="24"/>
          <w:lang w:val="en-GB"/>
        </w:rPr>
      </w:pPr>
      <w:proofErr w:type="spellStart"/>
      <w:r w:rsidRPr="00B85E4D">
        <w:rPr>
          <w:sz w:val="24"/>
          <w:szCs w:val="24"/>
          <w:lang w:val="en-GB"/>
        </w:rPr>
        <w:t>AddOn</w:t>
      </w:r>
      <w:r w:rsidRPr="00B85E4D">
        <w:rPr>
          <w:sz w:val="24"/>
          <w:szCs w:val="24"/>
          <w:vertAlign w:val="subscript"/>
          <w:lang w:val="en-GB"/>
        </w:rPr>
        <w:t>j</w:t>
      </w:r>
      <w:r w:rsidRPr="00B85E4D">
        <w:rPr>
          <w:sz w:val="24"/>
          <w:szCs w:val="24"/>
          <w:vertAlign w:val="superscript"/>
          <w:lang w:val="en-GB"/>
        </w:rPr>
        <w:t>Equity</w:t>
      </w:r>
      <w:proofErr w:type="spellEnd"/>
      <w:r w:rsidRPr="00B85E4D">
        <w:rPr>
          <w:sz w:val="24"/>
          <w:szCs w:val="24"/>
          <w:lang w:val="en-GB"/>
        </w:rPr>
        <w:t xml:space="preserve"> = the equity risk category add-on for hedging set </w:t>
      </w:r>
      <w:proofErr w:type="gramStart"/>
      <w:r w:rsidRPr="00B85E4D">
        <w:rPr>
          <w:i/>
          <w:iCs/>
          <w:sz w:val="24"/>
          <w:szCs w:val="24"/>
          <w:lang w:val="en-GB"/>
        </w:rPr>
        <w:t>j</w:t>
      </w:r>
      <w:r w:rsidRPr="00B85E4D">
        <w:rPr>
          <w:sz w:val="24"/>
          <w:szCs w:val="24"/>
          <w:lang w:val="en-GB"/>
        </w:rPr>
        <w:t>;</w:t>
      </w:r>
      <w:proofErr w:type="gramEnd"/>
      <w:r w:rsidRPr="00B85E4D">
        <w:rPr>
          <w:sz w:val="24"/>
          <w:szCs w:val="24"/>
          <w:lang w:val="en-GB"/>
        </w:rPr>
        <w:t xml:space="preserve"> </w:t>
      </w:r>
    </w:p>
    <w:p w14:paraId="42945D37" w14:textId="09F20A37" w:rsidR="002F2B6A" w:rsidRPr="00B85E4D" w:rsidRDefault="002F2B6A" w:rsidP="002F2B6A">
      <w:pPr>
        <w:spacing w:after="0"/>
        <w:rPr>
          <w:sz w:val="24"/>
          <w:szCs w:val="24"/>
          <w:lang w:val="en-GB"/>
        </w:rPr>
      </w:pPr>
      <w:proofErr w:type="spellStart"/>
      <w:r w:rsidRPr="00B85E4D">
        <w:rPr>
          <w:sz w:val="24"/>
          <w:szCs w:val="24"/>
          <w:lang w:val="en-GB"/>
        </w:rPr>
        <w:t>є</w:t>
      </w:r>
      <w:r w:rsidRPr="00B85E4D">
        <w:rPr>
          <w:sz w:val="24"/>
          <w:szCs w:val="24"/>
          <w:vertAlign w:val="subscript"/>
          <w:lang w:val="en-GB"/>
        </w:rPr>
        <w:t>j</w:t>
      </w:r>
      <w:proofErr w:type="spellEnd"/>
      <w:r w:rsidRPr="00B85E4D">
        <w:rPr>
          <w:sz w:val="24"/>
          <w:szCs w:val="24"/>
          <w:lang w:val="en-GB"/>
        </w:rPr>
        <w:t xml:space="preserve"> = the coefficient of the factor established by National Bank of Moldova for the hedging set for the credit risk category for hedging j determined in accordance with paragraph </w:t>
      </w:r>
      <w:proofErr w:type="gramStart"/>
      <w:r w:rsidRPr="00B85E4D">
        <w:rPr>
          <w:sz w:val="24"/>
          <w:szCs w:val="24"/>
          <w:lang w:val="en-GB"/>
        </w:rPr>
        <w:t>77;</w:t>
      </w:r>
      <w:proofErr w:type="gramEnd"/>
      <w:r w:rsidRPr="00B85E4D">
        <w:rPr>
          <w:sz w:val="24"/>
          <w:szCs w:val="24"/>
          <w:lang w:val="en-GB"/>
        </w:rPr>
        <w:t xml:space="preserve"> </w:t>
      </w:r>
    </w:p>
    <w:p w14:paraId="46543F3A" w14:textId="286131C7" w:rsidR="002F2B6A" w:rsidRPr="00B85E4D" w:rsidRDefault="002F2B6A" w:rsidP="002F2B6A">
      <w:pPr>
        <w:spacing w:after="0"/>
        <w:rPr>
          <w:sz w:val="24"/>
          <w:szCs w:val="24"/>
          <w:lang w:val="en-GB"/>
        </w:rPr>
      </w:pPr>
      <w:r w:rsidRPr="00B85E4D">
        <w:rPr>
          <w:sz w:val="24"/>
          <w:szCs w:val="24"/>
          <w:lang w:val="en-GB"/>
        </w:rPr>
        <w:t xml:space="preserve">k = the index that denotes the equity reference entities of the netting set established in accordance with paragraph </w:t>
      </w:r>
      <w:proofErr w:type="gramStart"/>
      <w:r w:rsidRPr="00B85E4D">
        <w:rPr>
          <w:sz w:val="24"/>
          <w:szCs w:val="24"/>
          <w:lang w:val="en-GB"/>
        </w:rPr>
        <w:t>88;</w:t>
      </w:r>
      <w:proofErr w:type="gramEnd"/>
      <w:r w:rsidRPr="00B85E4D">
        <w:rPr>
          <w:sz w:val="24"/>
          <w:szCs w:val="24"/>
          <w:lang w:val="en-GB"/>
        </w:rPr>
        <w:t xml:space="preserve"> </w:t>
      </w:r>
    </w:p>
    <w:p w14:paraId="76A530E6" w14:textId="77777777" w:rsidR="002F2B6A" w:rsidRPr="00B85E4D" w:rsidRDefault="002F2B6A" w:rsidP="002F2B6A">
      <w:pPr>
        <w:spacing w:after="0"/>
        <w:rPr>
          <w:sz w:val="24"/>
          <w:szCs w:val="24"/>
          <w:lang w:val="en-GB"/>
        </w:rPr>
      </w:pPr>
      <w:proofErr w:type="spellStart"/>
      <w:r w:rsidRPr="00B85E4D">
        <w:rPr>
          <w:rFonts w:eastAsia="Times New Roman" w:cs="Times New Roman"/>
          <w:sz w:val="24"/>
          <w:szCs w:val="24"/>
          <w:lang w:val="en-GB" w:eastAsia="ro-MD"/>
        </w:rPr>
        <w:t>ρ</w:t>
      </w:r>
      <w:r w:rsidRPr="00B85E4D">
        <w:rPr>
          <w:rFonts w:eastAsia="Times New Roman" w:cs="Times New Roman"/>
          <w:sz w:val="24"/>
          <w:szCs w:val="24"/>
          <w:vertAlign w:val="subscript"/>
          <w:lang w:val="en-GB" w:eastAsia="ro-MD"/>
        </w:rPr>
        <w:t>k</w:t>
      </w:r>
      <w:r w:rsidRPr="00B85E4D">
        <w:rPr>
          <w:sz w:val="24"/>
          <w:szCs w:val="24"/>
          <w:vertAlign w:val="superscript"/>
          <w:lang w:val="en-GB"/>
        </w:rPr>
        <w:t>Equity</w:t>
      </w:r>
      <w:proofErr w:type="spellEnd"/>
      <w:r w:rsidRPr="00B85E4D">
        <w:rPr>
          <w:sz w:val="24"/>
          <w:szCs w:val="24"/>
          <w:lang w:val="en-GB"/>
        </w:rPr>
        <w:t xml:space="preserve"> = the correlation factor of the equity reference entity k; where the equity reference entity k has been established in accordance with paragraph 88, subparagraph 88.1., </w:t>
      </w:r>
    </w:p>
    <w:p w14:paraId="5B30E4B9" w14:textId="6F0688B3" w:rsidR="002F2B6A" w:rsidRPr="00B85E4D" w:rsidRDefault="002F2B6A" w:rsidP="002F2B6A">
      <w:pPr>
        <w:spacing w:after="0"/>
        <w:jc w:val="center"/>
        <w:rPr>
          <w:sz w:val="24"/>
          <w:szCs w:val="24"/>
          <w:lang w:val="en-GB"/>
        </w:rPr>
      </w:pPr>
      <w:proofErr w:type="spellStart"/>
      <w:r w:rsidRPr="00B85E4D">
        <w:rPr>
          <w:rFonts w:eastAsia="Times New Roman" w:cs="Times New Roman"/>
          <w:sz w:val="24"/>
          <w:szCs w:val="24"/>
          <w:lang w:val="en-GB" w:eastAsia="ro-MD"/>
        </w:rPr>
        <w:t>ρ</w:t>
      </w:r>
      <w:r w:rsidRPr="00B85E4D">
        <w:rPr>
          <w:rFonts w:eastAsia="Times New Roman" w:cs="Times New Roman"/>
          <w:sz w:val="24"/>
          <w:szCs w:val="24"/>
          <w:vertAlign w:val="subscript"/>
          <w:lang w:val="en-GB" w:eastAsia="ro-MD"/>
        </w:rPr>
        <w:t>k</w:t>
      </w:r>
      <w:r w:rsidRPr="00B85E4D">
        <w:rPr>
          <w:sz w:val="24"/>
          <w:szCs w:val="24"/>
          <w:vertAlign w:val="superscript"/>
          <w:lang w:val="en-GB"/>
        </w:rPr>
        <w:t>Equity</w:t>
      </w:r>
      <w:proofErr w:type="spellEnd"/>
      <w:r w:rsidRPr="00B85E4D">
        <w:rPr>
          <w:sz w:val="24"/>
          <w:szCs w:val="24"/>
          <w:lang w:val="en-GB"/>
        </w:rPr>
        <w:t xml:space="preserve"> = </w:t>
      </w:r>
      <w:proofErr w:type="gramStart"/>
      <w:r w:rsidRPr="00B85E4D">
        <w:rPr>
          <w:sz w:val="24"/>
          <w:szCs w:val="24"/>
          <w:lang w:val="en-GB"/>
        </w:rPr>
        <w:t>50%;</w:t>
      </w:r>
      <w:proofErr w:type="gramEnd"/>
    </w:p>
    <w:p w14:paraId="6655207D" w14:textId="77777777" w:rsidR="002F2B6A" w:rsidRPr="00B85E4D" w:rsidRDefault="002F2B6A" w:rsidP="002F2B6A">
      <w:pPr>
        <w:spacing w:after="0"/>
        <w:rPr>
          <w:sz w:val="24"/>
          <w:szCs w:val="24"/>
          <w:lang w:val="en-GB"/>
        </w:rPr>
      </w:pPr>
      <w:r w:rsidRPr="00B85E4D">
        <w:rPr>
          <w:sz w:val="24"/>
          <w:szCs w:val="24"/>
          <w:lang w:val="en-GB"/>
        </w:rPr>
        <w:t xml:space="preserve">Where the equity reference entity k has been established in accordance with point (b) of paragraph 1, </w:t>
      </w:r>
    </w:p>
    <w:p w14:paraId="1091B089" w14:textId="68B728F2" w:rsidR="002F2B6A" w:rsidRPr="00B85E4D" w:rsidRDefault="002F2B6A" w:rsidP="002F2B6A">
      <w:pPr>
        <w:spacing w:after="0"/>
        <w:jc w:val="center"/>
        <w:rPr>
          <w:sz w:val="24"/>
          <w:szCs w:val="24"/>
          <w:lang w:val="en-GB"/>
        </w:rPr>
      </w:pPr>
      <w:proofErr w:type="spellStart"/>
      <w:r w:rsidRPr="00B85E4D">
        <w:rPr>
          <w:rFonts w:eastAsia="Times New Roman" w:cs="Times New Roman"/>
          <w:sz w:val="24"/>
          <w:szCs w:val="24"/>
          <w:lang w:val="en-GB" w:eastAsia="ro-MD"/>
        </w:rPr>
        <w:t>ρ</w:t>
      </w:r>
      <w:r w:rsidRPr="00B85E4D">
        <w:rPr>
          <w:rFonts w:eastAsia="Times New Roman" w:cs="Times New Roman"/>
          <w:sz w:val="24"/>
          <w:szCs w:val="24"/>
          <w:vertAlign w:val="subscript"/>
          <w:lang w:val="en-GB" w:eastAsia="ro-MD"/>
        </w:rPr>
        <w:t>k</w:t>
      </w:r>
      <w:r w:rsidRPr="00B85E4D">
        <w:rPr>
          <w:sz w:val="24"/>
          <w:szCs w:val="24"/>
          <w:vertAlign w:val="superscript"/>
          <w:lang w:val="en-GB"/>
        </w:rPr>
        <w:t>Equity</w:t>
      </w:r>
      <w:proofErr w:type="spellEnd"/>
      <w:r w:rsidRPr="00B85E4D">
        <w:rPr>
          <w:sz w:val="24"/>
          <w:szCs w:val="24"/>
          <w:lang w:val="en-GB"/>
        </w:rPr>
        <w:t xml:space="preserve"> = 80%; and</w:t>
      </w:r>
    </w:p>
    <w:p w14:paraId="53DAC8EB" w14:textId="77777777" w:rsidR="002F2B6A" w:rsidRPr="00B85E4D" w:rsidRDefault="002F2B6A" w:rsidP="002F2B6A">
      <w:pPr>
        <w:spacing w:after="0"/>
        <w:rPr>
          <w:sz w:val="24"/>
          <w:szCs w:val="24"/>
          <w:lang w:val="en-GB"/>
        </w:rPr>
      </w:pPr>
      <w:proofErr w:type="spellStart"/>
      <w:proofErr w:type="gramStart"/>
      <w:r w:rsidRPr="00B85E4D">
        <w:rPr>
          <w:sz w:val="24"/>
          <w:szCs w:val="24"/>
          <w:lang w:val="en-GB"/>
        </w:rPr>
        <w:t>AddOn</w:t>
      </w:r>
      <w:proofErr w:type="spellEnd"/>
      <w:r w:rsidRPr="00B85E4D">
        <w:rPr>
          <w:sz w:val="24"/>
          <w:szCs w:val="24"/>
          <w:lang w:val="en-GB"/>
        </w:rPr>
        <w:t>(</w:t>
      </w:r>
      <w:proofErr w:type="spellStart"/>
      <w:proofErr w:type="gramEnd"/>
      <w:r w:rsidRPr="00B85E4D">
        <w:rPr>
          <w:sz w:val="24"/>
          <w:szCs w:val="24"/>
          <w:lang w:val="en-GB"/>
        </w:rPr>
        <w:t>Entity</w:t>
      </w:r>
      <w:r w:rsidRPr="00B85E4D">
        <w:rPr>
          <w:sz w:val="24"/>
          <w:szCs w:val="24"/>
          <w:vertAlign w:val="subscript"/>
          <w:lang w:val="en-GB"/>
        </w:rPr>
        <w:t>k</w:t>
      </w:r>
      <w:proofErr w:type="spellEnd"/>
      <w:r w:rsidRPr="00B85E4D">
        <w:rPr>
          <w:sz w:val="24"/>
          <w:szCs w:val="24"/>
          <w:lang w:val="en-GB"/>
        </w:rPr>
        <w:t xml:space="preserve">) = the add-on for the equity reference entity k determined in accordance with paragraph 91. </w:t>
      </w:r>
    </w:p>
    <w:p w14:paraId="34298B26" w14:textId="77777777" w:rsidR="002F2B6A" w:rsidRPr="00B85E4D" w:rsidRDefault="002F2B6A" w:rsidP="002F2B6A">
      <w:pPr>
        <w:spacing w:after="0"/>
        <w:rPr>
          <w:sz w:val="24"/>
          <w:szCs w:val="24"/>
          <w:lang w:val="en-GB"/>
        </w:rPr>
      </w:pPr>
    </w:p>
    <w:p w14:paraId="6B772CCD" w14:textId="3608147B" w:rsidR="002F2B6A" w:rsidRPr="00B85E4D" w:rsidRDefault="002F2B6A" w:rsidP="002F2B6A">
      <w:pPr>
        <w:spacing w:after="0"/>
        <w:ind w:firstLine="708"/>
        <w:rPr>
          <w:b/>
          <w:bCs/>
          <w:sz w:val="24"/>
          <w:szCs w:val="24"/>
          <w:lang w:val="en-GB"/>
        </w:rPr>
      </w:pPr>
      <w:r w:rsidRPr="00B85E4D">
        <w:rPr>
          <w:sz w:val="24"/>
          <w:szCs w:val="24"/>
          <w:lang w:val="en-GB"/>
        </w:rPr>
        <w:lastRenderedPageBreak/>
        <w:t xml:space="preserve">91. Banks shall calculate the add-on for the equity reference entity </w:t>
      </w:r>
      <w:r w:rsidRPr="00B85E4D">
        <w:rPr>
          <w:i/>
          <w:iCs/>
          <w:sz w:val="24"/>
          <w:szCs w:val="24"/>
          <w:lang w:val="en-GB"/>
        </w:rPr>
        <w:t>k</w:t>
      </w:r>
      <w:r w:rsidRPr="00B85E4D">
        <w:rPr>
          <w:sz w:val="24"/>
          <w:szCs w:val="24"/>
          <w:lang w:val="en-GB"/>
        </w:rPr>
        <w:t xml:space="preserve"> as follows:</w:t>
      </w:r>
    </w:p>
    <w:p w14:paraId="275D82E9" w14:textId="77777777" w:rsidR="002F2B6A" w:rsidRPr="00B85E4D" w:rsidRDefault="002F2B6A" w:rsidP="00B578C7">
      <w:pPr>
        <w:spacing w:after="0"/>
        <w:jc w:val="center"/>
        <w:rPr>
          <w:b/>
          <w:bCs/>
          <w:lang w:val="en-GB"/>
        </w:rPr>
      </w:pPr>
    </w:p>
    <w:p w14:paraId="7DFFFA5E" w14:textId="3047EF4F" w:rsidR="002F2B6A" w:rsidRPr="00B85E4D" w:rsidRDefault="00685BF5" w:rsidP="00B578C7">
      <w:pPr>
        <w:spacing w:after="0"/>
        <w:jc w:val="center"/>
        <w:rPr>
          <w:b/>
          <w:bCs/>
          <w:lang w:val="en-GB"/>
        </w:rPr>
      </w:pPr>
      <w:r w:rsidRPr="00B85E4D">
        <w:rPr>
          <w:b/>
          <w:bCs/>
          <w:noProof/>
          <w:lang w:val="en-GB"/>
        </w:rPr>
        <w:drawing>
          <wp:inline distT="0" distB="0" distL="0" distR="0" wp14:anchorId="52B4876F" wp14:editId="72BC9014">
            <wp:extent cx="3029373" cy="562053"/>
            <wp:effectExtent l="0" t="0" r="0" b="9525"/>
            <wp:docPr id="170542610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26103" name=""/>
                    <pic:cNvPicPr/>
                  </pic:nvPicPr>
                  <pic:blipFill>
                    <a:blip r:embed="rId32"/>
                    <a:stretch>
                      <a:fillRect/>
                    </a:stretch>
                  </pic:blipFill>
                  <pic:spPr>
                    <a:xfrm>
                      <a:off x="0" y="0"/>
                      <a:ext cx="3029373" cy="562053"/>
                    </a:xfrm>
                    <a:prstGeom prst="rect">
                      <a:avLst/>
                    </a:prstGeom>
                  </pic:spPr>
                </pic:pic>
              </a:graphicData>
            </a:graphic>
          </wp:inline>
        </w:drawing>
      </w:r>
    </w:p>
    <w:p w14:paraId="4517C135" w14:textId="44A3B963" w:rsidR="00685BF5" w:rsidRPr="00B85E4D" w:rsidRDefault="00685BF5" w:rsidP="00685BF5">
      <w:pPr>
        <w:spacing w:after="0"/>
        <w:rPr>
          <w:sz w:val="24"/>
          <w:szCs w:val="24"/>
          <w:lang w:val="en-GB"/>
        </w:rPr>
      </w:pPr>
      <w:proofErr w:type="spellStart"/>
      <w:proofErr w:type="gramStart"/>
      <w:r w:rsidRPr="00B85E4D">
        <w:rPr>
          <w:sz w:val="24"/>
          <w:szCs w:val="24"/>
          <w:lang w:val="en-GB"/>
        </w:rPr>
        <w:t>AddOn</w:t>
      </w:r>
      <w:proofErr w:type="spellEnd"/>
      <w:r w:rsidRPr="00B85E4D">
        <w:rPr>
          <w:sz w:val="24"/>
          <w:szCs w:val="24"/>
          <w:lang w:val="en-GB"/>
        </w:rPr>
        <w:t>(</w:t>
      </w:r>
      <w:proofErr w:type="spellStart"/>
      <w:proofErr w:type="gramEnd"/>
      <w:r w:rsidRPr="00B85E4D">
        <w:rPr>
          <w:sz w:val="24"/>
          <w:szCs w:val="24"/>
          <w:lang w:val="en-GB"/>
        </w:rPr>
        <w:t>Equity</w:t>
      </w:r>
      <w:r w:rsidRPr="00B85E4D">
        <w:rPr>
          <w:sz w:val="24"/>
          <w:szCs w:val="24"/>
          <w:vertAlign w:val="subscript"/>
          <w:lang w:val="en-GB"/>
        </w:rPr>
        <w:t>k</w:t>
      </w:r>
      <w:proofErr w:type="spellEnd"/>
      <w:r w:rsidRPr="00B85E4D">
        <w:rPr>
          <w:sz w:val="24"/>
          <w:szCs w:val="24"/>
          <w:lang w:val="en-GB"/>
        </w:rPr>
        <w:t xml:space="preserve">) = the add-on for equity reference entity </w:t>
      </w:r>
      <w:r w:rsidRPr="00B85E4D">
        <w:rPr>
          <w:i/>
          <w:iCs/>
          <w:sz w:val="24"/>
          <w:szCs w:val="24"/>
          <w:lang w:val="en-GB"/>
        </w:rPr>
        <w:t>k</w:t>
      </w:r>
      <w:r w:rsidRPr="00B85E4D">
        <w:rPr>
          <w:sz w:val="24"/>
          <w:szCs w:val="24"/>
          <w:lang w:val="en-GB"/>
        </w:rPr>
        <w:t>;</w:t>
      </w:r>
    </w:p>
    <w:p w14:paraId="387014B6" w14:textId="697B79DC" w:rsidR="00685BF5" w:rsidRPr="00B85E4D" w:rsidRDefault="00685BF5" w:rsidP="00685BF5">
      <w:pPr>
        <w:spacing w:after="0"/>
        <w:rPr>
          <w:sz w:val="24"/>
          <w:szCs w:val="24"/>
          <w:lang w:val="en-GB"/>
        </w:rPr>
      </w:pPr>
      <w:proofErr w:type="spellStart"/>
      <w:r w:rsidRPr="00B85E4D">
        <w:rPr>
          <w:sz w:val="24"/>
          <w:szCs w:val="24"/>
          <w:lang w:val="en-GB"/>
        </w:rPr>
        <w:t>SF</w:t>
      </w:r>
      <w:r w:rsidRPr="00B85E4D">
        <w:rPr>
          <w:sz w:val="24"/>
          <w:szCs w:val="24"/>
          <w:vertAlign w:val="subscript"/>
          <w:lang w:val="en-GB"/>
        </w:rPr>
        <w:t>k</w:t>
      </w:r>
      <w:r w:rsidRPr="00B85E4D">
        <w:rPr>
          <w:sz w:val="24"/>
          <w:szCs w:val="24"/>
          <w:vertAlign w:val="superscript"/>
          <w:lang w:val="en-GB"/>
        </w:rPr>
        <w:t>Equity</w:t>
      </w:r>
      <w:proofErr w:type="spellEnd"/>
      <w:r w:rsidRPr="00B85E4D">
        <w:rPr>
          <w:sz w:val="24"/>
          <w:szCs w:val="24"/>
          <w:lang w:val="en-GB"/>
        </w:rPr>
        <w:t xml:space="preserve">= the factor established by the National Bank of Moldova applicable to equity reference entity </w:t>
      </w:r>
      <w:r w:rsidRPr="00B85E4D">
        <w:rPr>
          <w:i/>
          <w:iCs/>
          <w:sz w:val="24"/>
          <w:szCs w:val="24"/>
          <w:lang w:val="en-GB"/>
        </w:rPr>
        <w:t>k</w:t>
      </w:r>
      <w:r w:rsidRPr="00B85E4D">
        <w:rPr>
          <w:sz w:val="24"/>
          <w:szCs w:val="24"/>
          <w:lang w:val="en-GB"/>
        </w:rPr>
        <w:t xml:space="preserve">. Where the equity reference entity </w:t>
      </w:r>
      <w:r w:rsidRPr="00B85E4D">
        <w:rPr>
          <w:i/>
          <w:iCs/>
          <w:sz w:val="24"/>
          <w:szCs w:val="24"/>
          <w:lang w:val="en-GB"/>
        </w:rPr>
        <w:t>k</w:t>
      </w:r>
      <w:r w:rsidRPr="00B85E4D">
        <w:rPr>
          <w:sz w:val="24"/>
          <w:szCs w:val="24"/>
          <w:lang w:val="en-GB"/>
        </w:rPr>
        <w:t xml:space="preserve"> has been established in accordance with paragraph 88 subparagraph 88.1, </w:t>
      </w:r>
      <w:proofErr w:type="spellStart"/>
      <w:r w:rsidRPr="00B85E4D">
        <w:rPr>
          <w:sz w:val="24"/>
          <w:szCs w:val="24"/>
          <w:lang w:val="en-GB"/>
        </w:rPr>
        <w:t>SF</w:t>
      </w:r>
      <w:r w:rsidRPr="00B85E4D">
        <w:rPr>
          <w:sz w:val="24"/>
          <w:szCs w:val="24"/>
          <w:vertAlign w:val="subscript"/>
          <w:lang w:val="en-GB"/>
        </w:rPr>
        <w:t>k</w:t>
      </w:r>
      <w:r w:rsidRPr="00B85E4D">
        <w:rPr>
          <w:sz w:val="24"/>
          <w:szCs w:val="24"/>
          <w:vertAlign w:val="superscript"/>
          <w:lang w:val="en-GB"/>
        </w:rPr>
        <w:t>Equity</w:t>
      </w:r>
      <w:proofErr w:type="spellEnd"/>
      <w:r w:rsidRPr="00B85E4D">
        <w:rPr>
          <w:sz w:val="24"/>
          <w:szCs w:val="24"/>
          <w:lang w:val="en-GB"/>
        </w:rPr>
        <w:t xml:space="preserve"> = 32%. Where the equity reference entity </w:t>
      </w:r>
      <w:r w:rsidRPr="00B85E4D">
        <w:rPr>
          <w:i/>
          <w:iCs/>
          <w:sz w:val="24"/>
          <w:szCs w:val="24"/>
          <w:lang w:val="en-GB"/>
        </w:rPr>
        <w:t>k</w:t>
      </w:r>
      <w:r w:rsidRPr="00B85E4D">
        <w:rPr>
          <w:sz w:val="24"/>
          <w:szCs w:val="24"/>
          <w:lang w:val="en-GB"/>
        </w:rPr>
        <w:t xml:space="preserve"> has been established in accordance with paragraph 88 subparagraph 88.2, </w:t>
      </w:r>
      <w:proofErr w:type="spellStart"/>
      <w:r w:rsidRPr="00B85E4D">
        <w:rPr>
          <w:sz w:val="24"/>
          <w:szCs w:val="24"/>
          <w:lang w:val="en-GB"/>
        </w:rPr>
        <w:t>SF</w:t>
      </w:r>
      <w:r w:rsidRPr="00B85E4D">
        <w:rPr>
          <w:sz w:val="24"/>
          <w:szCs w:val="24"/>
          <w:vertAlign w:val="subscript"/>
          <w:lang w:val="en-GB"/>
        </w:rPr>
        <w:t>k</w:t>
      </w:r>
      <w:r w:rsidRPr="00B85E4D">
        <w:rPr>
          <w:sz w:val="24"/>
          <w:szCs w:val="24"/>
          <w:vertAlign w:val="superscript"/>
          <w:lang w:val="en-GB"/>
        </w:rPr>
        <w:t>Equity</w:t>
      </w:r>
      <w:proofErr w:type="spellEnd"/>
      <w:r w:rsidRPr="00B85E4D">
        <w:rPr>
          <w:sz w:val="24"/>
          <w:szCs w:val="24"/>
          <w:lang w:val="en-GB"/>
        </w:rPr>
        <w:t xml:space="preserve"> = 20%; and</w:t>
      </w:r>
    </w:p>
    <w:p w14:paraId="3ED75D23" w14:textId="4457FF5B" w:rsidR="00685BF5" w:rsidRPr="00B85E4D" w:rsidRDefault="00685BF5" w:rsidP="00685BF5">
      <w:pPr>
        <w:spacing w:after="0"/>
        <w:rPr>
          <w:sz w:val="24"/>
          <w:szCs w:val="24"/>
          <w:lang w:val="en-GB"/>
        </w:rPr>
      </w:pPr>
      <w:proofErr w:type="spellStart"/>
      <w:r w:rsidRPr="00B85E4D">
        <w:rPr>
          <w:sz w:val="24"/>
          <w:szCs w:val="24"/>
          <w:lang w:val="en-GB"/>
        </w:rPr>
        <w:t>EffNot</w:t>
      </w:r>
      <w:r w:rsidRPr="00B85E4D">
        <w:rPr>
          <w:sz w:val="24"/>
          <w:szCs w:val="24"/>
          <w:vertAlign w:val="subscript"/>
          <w:lang w:val="en-GB"/>
        </w:rPr>
        <w:t>k</w:t>
      </w:r>
      <w:r w:rsidRPr="00B85E4D">
        <w:rPr>
          <w:sz w:val="24"/>
          <w:szCs w:val="24"/>
          <w:vertAlign w:val="superscript"/>
          <w:lang w:val="en-GB"/>
        </w:rPr>
        <w:t>Equity</w:t>
      </w:r>
      <w:proofErr w:type="spellEnd"/>
      <w:r w:rsidRPr="00B85E4D">
        <w:rPr>
          <w:sz w:val="24"/>
          <w:szCs w:val="24"/>
          <w:lang w:val="en-GB"/>
        </w:rPr>
        <w:t xml:space="preserve">= the effective notional value of equity reference entity </w:t>
      </w:r>
      <w:r w:rsidRPr="00B85E4D">
        <w:rPr>
          <w:i/>
          <w:iCs/>
          <w:sz w:val="24"/>
          <w:szCs w:val="24"/>
          <w:lang w:val="en-GB"/>
        </w:rPr>
        <w:t>k</w:t>
      </w:r>
      <w:r w:rsidRPr="00B85E4D">
        <w:rPr>
          <w:sz w:val="24"/>
          <w:szCs w:val="24"/>
          <w:lang w:val="en-GB"/>
        </w:rPr>
        <w:t xml:space="preserve">, calculated as follows: </w:t>
      </w:r>
    </w:p>
    <w:p w14:paraId="683B7C71" w14:textId="77777777" w:rsidR="002F2B6A" w:rsidRPr="00B85E4D" w:rsidRDefault="002F2B6A" w:rsidP="00685BF5">
      <w:pPr>
        <w:spacing w:after="0"/>
        <w:rPr>
          <w:b/>
          <w:bCs/>
          <w:lang w:val="en-GB"/>
        </w:rPr>
      </w:pPr>
    </w:p>
    <w:p w14:paraId="4E1D2F72" w14:textId="6FCA6901" w:rsidR="002A1FCB" w:rsidRPr="00B85E4D" w:rsidRDefault="002A1FCB" w:rsidP="002A1FCB">
      <w:pPr>
        <w:spacing w:after="0"/>
        <w:jc w:val="center"/>
        <w:rPr>
          <w:b/>
          <w:bCs/>
          <w:lang w:val="en-GB"/>
        </w:rPr>
      </w:pPr>
      <w:r w:rsidRPr="00B85E4D">
        <w:rPr>
          <w:b/>
          <w:bCs/>
          <w:noProof/>
          <w:lang w:val="en-GB"/>
        </w:rPr>
        <w:drawing>
          <wp:inline distT="0" distB="0" distL="0" distR="0" wp14:anchorId="432B4FD6" wp14:editId="6FA2A3F9">
            <wp:extent cx="3829584" cy="695422"/>
            <wp:effectExtent l="0" t="0" r="0" b="9525"/>
            <wp:docPr id="3722107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1078" name=""/>
                    <pic:cNvPicPr/>
                  </pic:nvPicPr>
                  <pic:blipFill>
                    <a:blip r:embed="rId33"/>
                    <a:stretch>
                      <a:fillRect/>
                    </a:stretch>
                  </pic:blipFill>
                  <pic:spPr>
                    <a:xfrm>
                      <a:off x="0" y="0"/>
                      <a:ext cx="3829584" cy="695422"/>
                    </a:xfrm>
                    <a:prstGeom prst="rect">
                      <a:avLst/>
                    </a:prstGeom>
                  </pic:spPr>
                </pic:pic>
              </a:graphicData>
            </a:graphic>
          </wp:inline>
        </w:drawing>
      </w:r>
    </w:p>
    <w:p w14:paraId="12085F66" w14:textId="33A45A2A" w:rsidR="002A1FCB" w:rsidRPr="00B85E4D" w:rsidRDefault="002A1FCB" w:rsidP="002A1FCB">
      <w:pPr>
        <w:spacing w:after="0"/>
        <w:rPr>
          <w:sz w:val="24"/>
          <w:szCs w:val="24"/>
          <w:lang w:val="en-GB"/>
        </w:rPr>
      </w:pPr>
      <w:r w:rsidRPr="00B85E4D">
        <w:rPr>
          <w:sz w:val="24"/>
          <w:szCs w:val="24"/>
          <w:lang w:val="en-GB"/>
        </w:rPr>
        <w:t>where:</w:t>
      </w:r>
    </w:p>
    <w:p w14:paraId="627010F3" w14:textId="154EFB38" w:rsidR="002A1FCB" w:rsidRPr="00B85E4D" w:rsidRDefault="002A1FCB" w:rsidP="002A1FCB">
      <w:pPr>
        <w:spacing w:after="0"/>
        <w:rPr>
          <w:sz w:val="24"/>
          <w:szCs w:val="24"/>
          <w:lang w:val="en-GB"/>
        </w:rPr>
      </w:pPr>
      <w:r w:rsidRPr="00B85E4D">
        <w:rPr>
          <w:sz w:val="24"/>
          <w:szCs w:val="24"/>
          <w:lang w:val="en-GB"/>
        </w:rPr>
        <w:t>l = the index that denotes the risk position</w:t>
      </w:r>
    </w:p>
    <w:p w14:paraId="043001AD" w14:textId="4D79473D" w:rsidR="002A1FCB" w:rsidRPr="002A1FCB" w:rsidRDefault="002A1FCB" w:rsidP="002A1FCB">
      <w:pPr>
        <w:spacing w:before="100" w:beforeAutospacing="1" w:after="100" w:afterAutospacing="1"/>
        <w:jc w:val="center"/>
        <w:rPr>
          <w:rFonts w:eastAsia="Times New Roman" w:cs="Times New Roman"/>
          <w:sz w:val="24"/>
          <w:szCs w:val="24"/>
          <w:lang w:val="en-GB" w:eastAsia="ro-RO"/>
        </w:rPr>
      </w:pPr>
      <w:r w:rsidRPr="002A1FCB">
        <w:rPr>
          <w:rFonts w:eastAsia="Times New Roman" w:cs="Times New Roman"/>
          <w:i/>
          <w:iCs/>
          <w:sz w:val="24"/>
          <w:szCs w:val="24"/>
          <w:lang w:val="en-GB" w:eastAsia="ro-RO"/>
        </w:rPr>
        <w:t>Section 14</w:t>
      </w:r>
      <w:r w:rsidRPr="002A1FCB">
        <w:rPr>
          <w:rFonts w:eastAsia="Times New Roman" w:cs="Times New Roman"/>
          <w:i/>
          <w:iCs/>
          <w:sz w:val="24"/>
          <w:szCs w:val="24"/>
          <w:lang w:val="en-GB" w:eastAsia="ro-RO"/>
        </w:rPr>
        <w:br/>
      </w:r>
      <w:r w:rsidRPr="00B85E4D">
        <w:rPr>
          <w:rFonts w:eastAsia="Times New Roman" w:cs="Times New Roman"/>
          <w:b/>
          <w:bCs/>
          <w:sz w:val="24"/>
          <w:szCs w:val="24"/>
          <w:lang w:val="en-GB" w:eastAsia="ro-RO"/>
        </w:rPr>
        <w:t>C</w:t>
      </w:r>
      <w:r w:rsidRPr="002A1FCB">
        <w:rPr>
          <w:rFonts w:eastAsia="Times New Roman" w:cs="Times New Roman"/>
          <w:b/>
          <w:bCs/>
          <w:sz w:val="24"/>
          <w:szCs w:val="24"/>
          <w:lang w:val="en-GB" w:eastAsia="ro-RO"/>
        </w:rPr>
        <w:t>ommodity risk category</w:t>
      </w:r>
      <w:r w:rsidRPr="00B85E4D">
        <w:rPr>
          <w:rFonts w:eastAsia="Times New Roman" w:cs="Times New Roman"/>
          <w:b/>
          <w:bCs/>
          <w:sz w:val="24"/>
          <w:szCs w:val="24"/>
          <w:lang w:val="en-GB" w:eastAsia="ro-RO"/>
        </w:rPr>
        <w:t xml:space="preserve"> add-on</w:t>
      </w:r>
    </w:p>
    <w:p w14:paraId="40BCED84" w14:textId="3393DE5A" w:rsidR="002A1FCB" w:rsidRPr="00B85E4D" w:rsidRDefault="002A1FCB" w:rsidP="002A1FCB">
      <w:pPr>
        <w:spacing w:before="100" w:beforeAutospacing="1" w:after="100" w:afterAutospacing="1"/>
        <w:ind w:firstLine="708"/>
        <w:rPr>
          <w:rFonts w:eastAsia="Times New Roman" w:cs="Times New Roman"/>
          <w:sz w:val="24"/>
          <w:szCs w:val="24"/>
          <w:lang w:val="en-GB" w:eastAsia="ro-RO"/>
        </w:rPr>
      </w:pPr>
      <w:r w:rsidRPr="002A1FCB">
        <w:rPr>
          <w:rFonts w:eastAsia="Times New Roman" w:cs="Times New Roman"/>
          <w:b/>
          <w:bCs/>
          <w:sz w:val="24"/>
          <w:szCs w:val="24"/>
          <w:lang w:val="en-GB" w:eastAsia="ro-RO"/>
        </w:rPr>
        <w:t>92.</w:t>
      </w:r>
      <w:r w:rsidRPr="002A1FCB">
        <w:rPr>
          <w:rFonts w:eastAsia="Times New Roman" w:cs="Times New Roman"/>
          <w:sz w:val="24"/>
          <w:szCs w:val="24"/>
          <w:lang w:val="en-GB" w:eastAsia="ro-RO"/>
        </w:rPr>
        <w:t xml:space="preserve"> For the purposes of paragraphs 66–68, </w:t>
      </w:r>
      <w:r w:rsidRPr="00B85E4D">
        <w:rPr>
          <w:rFonts w:eastAsia="Times New Roman" w:cs="Times New Roman"/>
          <w:sz w:val="24"/>
          <w:szCs w:val="24"/>
          <w:lang w:val="en-GB" w:eastAsia="ro-RO"/>
        </w:rPr>
        <w:t>banks</w:t>
      </w:r>
      <w:r w:rsidRPr="002A1FCB">
        <w:rPr>
          <w:rFonts w:eastAsia="Times New Roman" w:cs="Times New Roman"/>
          <w:sz w:val="24"/>
          <w:szCs w:val="24"/>
          <w:lang w:val="en-GB" w:eastAsia="ro-RO"/>
        </w:rPr>
        <w:t xml:space="preserve"> shall calculate the add-on for the commodity risk category for a given netting set as follows:</w:t>
      </w:r>
    </w:p>
    <w:p w14:paraId="25BB64DF" w14:textId="0ABB0755" w:rsidR="002A1FCB" w:rsidRPr="002A1FCB" w:rsidRDefault="002A1FCB" w:rsidP="002A1FCB">
      <w:pPr>
        <w:spacing w:before="100" w:beforeAutospacing="1" w:after="100" w:afterAutospacing="1"/>
        <w:ind w:firstLine="708"/>
        <w:jc w:val="center"/>
        <w:rPr>
          <w:rFonts w:eastAsia="Times New Roman" w:cs="Times New Roman"/>
          <w:sz w:val="24"/>
          <w:szCs w:val="24"/>
          <w:lang w:val="en-GB" w:eastAsia="ro-RO"/>
        </w:rPr>
      </w:pPr>
      <w:r w:rsidRPr="00B85E4D">
        <w:rPr>
          <w:rFonts w:eastAsia="Times New Roman" w:cs="Times New Roman"/>
          <w:noProof/>
          <w:sz w:val="24"/>
          <w:szCs w:val="24"/>
          <w:lang w:val="en-GB" w:eastAsia="ro-RO"/>
        </w:rPr>
        <w:drawing>
          <wp:inline distT="0" distB="0" distL="0" distR="0" wp14:anchorId="44150DB6" wp14:editId="76BBE40B">
            <wp:extent cx="1981477" cy="504895"/>
            <wp:effectExtent l="0" t="0" r="0" b="0"/>
            <wp:docPr id="199971551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15517" name=""/>
                    <pic:cNvPicPr/>
                  </pic:nvPicPr>
                  <pic:blipFill>
                    <a:blip r:embed="rId34"/>
                    <a:stretch>
                      <a:fillRect/>
                    </a:stretch>
                  </pic:blipFill>
                  <pic:spPr>
                    <a:xfrm>
                      <a:off x="0" y="0"/>
                      <a:ext cx="1981477" cy="504895"/>
                    </a:xfrm>
                    <a:prstGeom prst="rect">
                      <a:avLst/>
                    </a:prstGeom>
                  </pic:spPr>
                </pic:pic>
              </a:graphicData>
            </a:graphic>
          </wp:inline>
        </w:drawing>
      </w:r>
    </w:p>
    <w:p w14:paraId="3E42FEF9" w14:textId="7AA2A5F7" w:rsidR="002A1FCB" w:rsidRPr="002A1FCB" w:rsidRDefault="002A1FCB" w:rsidP="002A1FCB">
      <w:pPr>
        <w:spacing w:after="0"/>
        <w:ind w:left="708"/>
        <w:rPr>
          <w:sz w:val="24"/>
          <w:szCs w:val="24"/>
          <w:lang w:val="en-GB"/>
        </w:rPr>
      </w:pPr>
      <w:r w:rsidRPr="00B85E4D">
        <w:rPr>
          <w:sz w:val="24"/>
          <w:szCs w:val="24"/>
          <w:lang w:val="en-GB"/>
        </w:rPr>
        <w:t>w</w:t>
      </w:r>
      <w:r w:rsidRPr="002A1FCB">
        <w:rPr>
          <w:sz w:val="24"/>
          <w:szCs w:val="24"/>
          <w:lang w:val="en-GB"/>
        </w:rPr>
        <w:t>here:</w:t>
      </w:r>
      <w:r w:rsidRPr="002A1FCB">
        <w:rPr>
          <w:sz w:val="24"/>
          <w:szCs w:val="24"/>
          <w:lang w:val="en-GB"/>
        </w:rPr>
        <w:br/>
      </w:r>
      <w:proofErr w:type="spellStart"/>
      <w:r w:rsidRPr="002A1FCB">
        <w:rPr>
          <w:sz w:val="24"/>
          <w:szCs w:val="24"/>
          <w:lang w:val="en-GB"/>
        </w:rPr>
        <w:t>AddOn</w:t>
      </w:r>
      <w:r w:rsidRPr="002A1FCB">
        <w:rPr>
          <w:sz w:val="24"/>
          <w:szCs w:val="24"/>
          <w:vertAlign w:val="superscript"/>
          <w:lang w:val="en-GB"/>
        </w:rPr>
        <w:t>Commodity</w:t>
      </w:r>
      <w:proofErr w:type="spellEnd"/>
      <w:r w:rsidRPr="002A1FCB">
        <w:rPr>
          <w:sz w:val="24"/>
          <w:szCs w:val="24"/>
          <w:lang w:val="en-GB"/>
        </w:rPr>
        <w:t>= the commodity risk category</w:t>
      </w:r>
      <w:r w:rsidRPr="00B85E4D">
        <w:rPr>
          <w:sz w:val="24"/>
          <w:szCs w:val="24"/>
          <w:lang w:val="en-GB"/>
        </w:rPr>
        <w:t xml:space="preserve"> </w:t>
      </w:r>
      <w:proofErr w:type="gramStart"/>
      <w:r w:rsidRPr="00B85E4D">
        <w:rPr>
          <w:sz w:val="24"/>
          <w:szCs w:val="24"/>
          <w:lang w:val="en-GB"/>
        </w:rPr>
        <w:t>add-on</w:t>
      </w:r>
      <w:r w:rsidRPr="002A1FCB">
        <w:rPr>
          <w:sz w:val="24"/>
          <w:szCs w:val="24"/>
          <w:lang w:val="en-GB"/>
        </w:rPr>
        <w:t>;</w:t>
      </w:r>
      <w:proofErr w:type="gramEnd"/>
    </w:p>
    <w:p w14:paraId="2B3C75B1" w14:textId="77777777" w:rsidR="002A1FCB" w:rsidRPr="002A1FCB" w:rsidRDefault="002A1FCB" w:rsidP="002A1FCB">
      <w:pPr>
        <w:spacing w:after="0"/>
        <w:ind w:firstLine="708"/>
        <w:rPr>
          <w:sz w:val="24"/>
          <w:szCs w:val="24"/>
          <w:lang w:val="en-GB"/>
        </w:rPr>
      </w:pPr>
      <w:r w:rsidRPr="002A1FCB">
        <w:rPr>
          <w:sz w:val="24"/>
          <w:szCs w:val="24"/>
          <w:lang w:val="en-GB"/>
        </w:rPr>
        <w:t>j = the index designating the hedging sets for the commodity risk category established in accordance with paragraph 59 subparagraph 59.5 and paragraphs 61–64 for the netting set; and</w:t>
      </w:r>
    </w:p>
    <w:p w14:paraId="497BDBF8" w14:textId="27243129" w:rsidR="002A1FCB" w:rsidRPr="002A1FCB" w:rsidRDefault="002A1FCB" w:rsidP="002A1FCB">
      <w:pPr>
        <w:spacing w:after="0"/>
        <w:ind w:firstLine="708"/>
        <w:rPr>
          <w:sz w:val="24"/>
          <w:szCs w:val="24"/>
          <w:lang w:val="en-GB"/>
        </w:rPr>
      </w:pPr>
      <w:proofErr w:type="spellStart"/>
      <w:r w:rsidRPr="002A1FCB">
        <w:rPr>
          <w:sz w:val="24"/>
          <w:szCs w:val="24"/>
          <w:lang w:val="en-GB"/>
        </w:rPr>
        <w:t>AddOn</w:t>
      </w:r>
      <w:r w:rsidRPr="002A1FCB">
        <w:rPr>
          <w:sz w:val="24"/>
          <w:szCs w:val="24"/>
          <w:vertAlign w:val="subscript"/>
          <w:lang w:val="en-GB"/>
        </w:rPr>
        <w:t>j</w:t>
      </w:r>
      <w:r w:rsidRPr="002A1FCB">
        <w:rPr>
          <w:sz w:val="24"/>
          <w:szCs w:val="24"/>
          <w:vertAlign w:val="superscript"/>
          <w:lang w:val="en-GB"/>
        </w:rPr>
        <w:t>Commodity</w:t>
      </w:r>
      <w:proofErr w:type="spellEnd"/>
      <w:r w:rsidRPr="002A1FCB">
        <w:rPr>
          <w:sz w:val="24"/>
          <w:szCs w:val="24"/>
          <w:lang w:val="en-GB"/>
        </w:rPr>
        <w:t xml:space="preserve"> = the commodity risk </w:t>
      </w:r>
      <w:r w:rsidRPr="00B85E4D">
        <w:rPr>
          <w:sz w:val="24"/>
          <w:szCs w:val="24"/>
          <w:lang w:val="en-GB"/>
        </w:rPr>
        <w:t xml:space="preserve">add-on </w:t>
      </w:r>
      <w:r w:rsidRPr="002A1FCB">
        <w:rPr>
          <w:sz w:val="24"/>
          <w:szCs w:val="24"/>
          <w:lang w:val="en-GB"/>
        </w:rPr>
        <w:t xml:space="preserve">category for hedging set </w:t>
      </w:r>
      <w:r w:rsidRPr="002A1FCB">
        <w:rPr>
          <w:i/>
          <w:iCs/>
          <w:sz w:val="24"/>
          <w:szCs w:val="24"/>
          <w:lang w:val="en-GB"/>
        </w:rPr>
        <w:t>j</w:t>
      </w:r>
      <w:r w:rsidRPr="002A1FCB">
        <w:rPr>
          <w:sz w:val="24"/>
          <w:szCs w:val="24"/>
          <w:lang w:val="en-GB"/>
        </w:rPr>
        <w:t>, calculated in accordance with paragraph 95.</w:t>
      </w:r>
    </w:p>
    <w:p w14:paraId="471CD80C" w14:textId="77777777" w:rsidR="002A1FCB" w:rsidRPr="00B85E4D" w:rsidRDefault="002A1FCB" w:rsidP="002A1FCB">
      <w:pPr>
        <w:spacing w:after="0"/>
        <w:rPr>
          <w:sz w:val="24"/>
          <w:szCs w:val="24"/>
          <w:lang w:val="en-GB"/>
        </w:rPr>
      </w:pPr>
    </w:p>
    <w:p w14:paraId="6CCC4780" w14:textId="36EB0AF7" w:rsidR="002A1FCB" w:rsidRPr="00B85E4D" w:rsidRDefault="002A1FCB" w:rsidP="002A1FCB">
      <w:pPr>
        <w:spacing w:after="0"/>
        <w:ind w:firstLine="708"/>
        <w:jc w:val="both"/>
        <w:rPr>
          <w:sz w:val="24"/>
          <w:szCs w:val="24"/>
          <w:lang w:val="en-GB"/>
        </w:rPr>
      </w:pPr>
      <w:r w:rsidRPr="00B85E4D">
        <w:rPr>
          <w:b/>
          <w:bCs/>
          <w:sz w:val="24"/>
          <w:szCs w:val="24"/>
          <w:lang w:val="en-GB"/>
        </w:rPr>
        <w:t>93.</w:t>
      </w:r>
      <w:r w:rsidRPr="00B85E4D">
        <w:rPr>
          <w:sz w:val="24"/>
          <w:szCs w:val="24"/>
          <w:lang w:val="en-GB"/>
        </w:rPr>
        <w:t xml:space="preserve"> For the purpose of calculating the add-on for a commodity hedging set of </w:t>
      </w:r>
      <w:proofErr w:type="gramStart"/>
      <w:r w:rsidRPr="00B85E4D">
        <w:rPr>
          <w:sz w:val="24"/>
          <w:szCs w:val="24"/>
          <w:lang w:val="en-GB"/>
        </w:rPr>
        <w:t>a</w:t>
      </w:r>
      <w:proofErr w:type="gramEnd"/>
      <w:r w:rsidRPr="00B85E4D">
        <w:rPr>
          <w:sz w:val="24"/>
          <w:szCs w:val="24"/>
          <w:lang w:val="en-GB"/>
        </w:rPr>
        <w:t xml:space="preserve"> given netting set in accordance with paragraph </w:t>
      </w:r>
      <w:r w:rsidR="002E183C" w:rsidRPr="00B85E4D">
        <w:rPr>
          <w:sz w:val="24"/>
          <w:szCs w:val="24"/>
          <w:lang w:val="en-GB"/>
        </w:rPr>
        <w:t>95</w:t>
      </w:r>
      <w:r w:rsidRPr="00B85E4D">
        <w:rPr>
          <w:sz w:val="24"/>
          <w:szCs w:val="24"/>
          <w:lang w:val="en-GB"/>
        </w:rPr>
        <w:t xml:space="preserve">, </w:t>
      </w:r>
      <w:r w:rsidR="002E183C" w:rsidRPr="00B85E4D">
        <w:rPr>
          <w:sz w:val="24"/>
          <w:szCs w:val="24"/>
          <w:lang w:val="en-GB"/>
        </w:rPr>
        <w:t>banks</w:t>
      </w:r>
      <w:r w:rsidRPr="00B85E4D">
        <w:rPr>
          <w:sz w:val="24"/>
          <w:szCs w:val="24"/>
          <w:lang w:val="en-GB"/>
        </w:rPr>
        <w:t xml:space="preserve"> shall establish the relevant commodity reference types of each hedging set. Commodity derivative transactions shall be assigned to the same commodity reference type only where the underlying commodity instrument of those transactions has the same nature, irrespective of the delivery location and quality of the commodity instrument. </w:t>
      </w:r>
    </w:p>
    <w:p w14:paraId="72CBBC83" w14:textId="77777777" w:rsidR="002A1FCB" w:rsidRPr="00B85E4D" w:rsidRDefault="002A1FCB" w:rsidP="002A1FCB">
      <w:pPr>
        <w:spacing w:after="0"/>
        <w:jc w:val="both"/>
        <w:rPr>
          <w:sz w:val="24"/>
          <w:szCs w:val="24"/>
          <w:lang w:val="en-GB"/>
        </w:rPr>
      </w:pPr>
    </w:p>
    <w:p w14:paraId="6384BD77" w14:textId="3044ECF2" w:rsidR="002A1FCB" w:rsidRPr="00B85E4D" w:rsidRDefault="002E183C" w:rsidP="002E183C">
      <w:pPr>
        <w:spacing w:after="0"/>
        <w:ind w:firstLine="708"/>
        <w:jc w:val="both"/>
        <w:rPr>
          <w:sz w:val="24"/>
          <w:szCs w:val="24"/>
          <w:lang w:val="en-GB"/>
        </w:rPr>
      </w:pPr>
      <w:r w:rsidRPr="00B85E4D">
        <w:rPr>
          <w:b/>
          <w:bCs/>
          <w:sz w:val="24"/>
          <w:szCs w:val="24"/>
          <w:lang w:val="en-GB"/>
        </w:rPr>
        <w:t>94</w:t>
      </w:r>
      <w:r w:rsidR="002A1FCB" w:rsidRPr="00B85E4D">
        <w:rPr>
          <w:b/>
          <w:bCs/>
          <w:sz w:val="24"/>
          <w:szCs w:val="24"/>
          <w:lang w:val="en-GB"/>
        </w:rPr>
        <w:t>.</w:t>
      </w:r>
      <w:r w:rsidR="002A1FCB" w:rsidRPr="00B85E4D">
        <w:rPr>
          <w:sz w:val="24"/>
          <w:szCs w:val="24"/>
          <w:lang w:val="en-GB"/>
        </w:rPr>
        <w:t xml:space="preserve"> By way of derogation from paragraph </w:t>
      </w:r>
      <w:r w:rsidRPr="00B85E4D">
        <w:rPr>
          <w:sz w:val="24"/>
          <w:szCs w:val="24"/>
          <w:lang w:val="en-GB"/>
        </w:rPr>
        <w:t>93</w:t>
      </w:r>
      <w:r w:rsidR="002A1FCB" w:rsidRPr="00B85E4D">
        <w:rPr>
          <w:sz w:val="24"/>
          <w:szCs w:val="24"/>
          <w:lang w:val="en-GB"/>
        </w:rPr>
        <w:t xml:space="preserve">, </w:t>
      </w:r>
      <w:r w:rsidRPr="00B85E4D">
        <w:rPr>
          <w:sz w:val="24"/>
          <w:szCs w:val="24"/>
          <w:lang w:val="en-GB"/>
        </w:rPr>
        <w:t>National Bank of Moldova</w:t>
      </w:r>
      <w:r w:rsidR="002A1FCB" w:rsidRPr="00B85E4D">
        <w:rPr>
          <w:sz w:val="24"/>
          <w:szCs w:val="24"/>
          <w:lang w:val="en-GB"/>
        </w:rPr>
        <w:t xml:space="preserve"> may require </w:t>
      </w:r>
      <w:proofErr w:type="gramStart"/>
      <w:r w:rsidR="002A1FCB" w:rsidRPr="00B85E4D">
        <w:rPr>
          <w:sz w:val="24"/>
          <w:szCs w:val="24"/>
          <w:lang w:val="en-GB"/>
        </w:rPr>
        <w:t>a</w:t>
      </w:r>
      <w:r w:rsidR="00865CE4" w:rsidRPr="00B85E4D">
        <w:rPr>
          <w:sz w:val="24"/>
          <w:szCs w:val="24"/>
          <w:lang w:val="en-GB"/>
        </w:rPr>
        <w:t xml:space="preserve"> </w:t>
      </w:r>
      <w:r w:rsidR="002A1FCB" w:rsidRPr="00B85E4D">
        <w:rPr>
          <w:sz w:val="24"/>
          <w:szCs w:val="24"/>
          <w:lang w:val="en-GB"/>
        </w:rPr>
        <w:t xml:space="preserve"> </w:t>
      </w:r>
      <w:r w:rsidR="00865CE4" w:rsidRPr="00B85E4D">
        <w:rPr>
          <w:sz w:val="24"/>
          <w:szCs w:val="24"/>
          <w:lang w:val="en-GB"/>
        </w:rPr>
        <w:t>bank</w:t>
      </w:r>
      <w:proofErr w:type="gramEnd"/>
      <w:r w:rsidR="002A1FCB" w:rsidRPr="00B85E4D">
        <w:rPr>
          <w:sz w:val="24"/>
          <w:szCs w:val="24"/>
          <w:lang w:val="en-GB"/>
        </w:rPr>
        <w:t xml:space="preserve"> which is significantly exposed to the basis risk of different positions sharing the same nature as referred to in paragraph </w:t>
      </w:r>
      <w:r w:rsidRPr="00B85E4D">
        <w:rPr>
          <w:sz w:val="24"/>
          <w:szCs w:val="24"/>
          <w:lang w:val="en-GB"/>
        </w:rPr>
        <w:t>93</w:t>
      </w:r>
      <w:r w:rsidR="002A1FCB" w:rsidRPr="00B85E4D">
        <w:rPr>
          <w:sz w:val="24"/>
          <w:szCs w:val="24"/>
          <w:lang w:val="en-GB"/>
        </w:rPr>
        <w:t xml:space="preserve"> to establish the commodity reference types for those positions using more characteristics than just the nature of the underlying commodity instrument. In such a situation, commodity derivative transactions shall be assigned the same commodity reference type only where they share those characteristics.</w:t>
      </w:r>
    </w:p>
    <w:p w14:paraId="275D385A" w14:textId="6EF3820C" w:rsidR="002E183C" w:rsidRPr="00B85E4D" w:rsidRDefault="002E183C" w:rsidP="002E183C">
      <w:pPr>
        <w:spacing w:after="0"/>
        <w:ind w:firstLine="708"/>
        <w:jc w:val="both"/>
        <w:rPr>
          <w:sz w:val="24"/>
          <w:szCs w:val="24"/>
          <w:lang w:val="en-GB"/>
        </w:rPr>
      </w:pPr>
      <w:r w:rsidRPr="00B85E4D">
        <w:rPr>
          <w:b/>
          <w:bCs/>
          <w:sz w:val="24"/>
          <w:szCs w:val="24"/>
          <w:lang w:val="en-GB"/>
        </w:rPr>
        <w:t>95.</w:t>
      </w:r>
      <w:r w:rsidRPr="00B85E4D">
        <w:rPr>
          <w:sz w:val="24"/>
          <w:szCs w:val="24"/>
          <w:lang w:val="en-GB"/>
        </w:rPr>
        <w:t xml:space="preserve"> Banks shall calculate the commodity risk category add-on for hedging set j as follows:</w:t>
      </w:r>
    </w:p>
    <w:p w14:paraId="01EA6B9A" w14:textId="36FFCC9D" w:rsidR="002E183C" w:rsidRPr="00B85E4D" w:rsidRDefault="002E183C" w:rsidP="002E183C">
      <w:pPr>
        <w:spacing w:after="0"/>
        <w:ind w:firstLine="708"/>
        <w:jc w:val="both"/>
        <w:rPr>
          <w:b/>
          <w:bCs/>
          <w:sz w:val="24"/>
          <w:szCs w:val="24"/>
          <w:lang w:val="en-GB"/>
        </w:rPr>
      </w:pPr>
      <w:r w:rsidRPr="00B85E4D">
        <w:rPr>
          <w:b/>
          <w:bCs/>
          <w:noProof/>
          <w:sz w:val="24"/>
          <w:szCs w:val="24"/>
          <w:lang w:val="en-GB"/>
        </w:rPr>
        <w:lastRenderedPageBreak/>
        <w:drawing>
          <wp:inline distT="0" distB="0" distL="0" distR="0" wp14:anchorId="0E59808D" wp14:editId="1AA548B6">
            <wp:extent cx="4591691" cy="733527"/>
            <wp:effectExtent l="0" t="0" r="0" b="9525"/>
            <wp:docPr id="205556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621" name=""/>
                    <pic:cNvPicPr/>
                  </pic:nvPicPr>
                  <pic:blipFill>
                    <a:blip r:embed="rId35"/>
                    <a:stretch>
                      <a:fillRect/>
                    </a:stretch>
                  </pic:blipFill>
                  <pic:spPr>
                    <a:xfrm>
                      <a:off x="0" y="0"/>
                      <a:ext cx="4591691" cy="733527"/>
                    </a:xfrm>
                    <a:prstGeom prst="rect">
                      <a:avLst/>
                    </a:prstGeom>
                  </pic:spPr>
                </pic:pic>
              </a:graphicData>
            </a:graphic>
          </wp:inline>
        </w:drawing>
      </w:r>
    </w:p>
    <w:p w14:paraId="791D7821" w14:textId="77777777" w:rsidR="002E183C" w:rsidRPr="00B85E4D" w:rsidRDefault="002E183C" w:rsidP="002E183C">
      <w:pPr>
        <w:spacing w:after="0"/>
        <w:rPr>
          <w:sz w:val="24"/>
          <w:szCs w:val="24"/>
          <w:lang w:val="en-GB"/>
        </w:rPr>
      </w:pPr>
      <w:r w:rsidRPr="00B85E4D">
        <w:rPr>
          <w:sz w:val="24"/>
          <w:szCs w:val="24"/>
          <w:lang w:val="en-GB"/>
        </w:rPr>
        <w:t xml:space="preserve">where: </w:t>
      </w:r>
    </w:p>
    <w:p w14:paraId="782C8E78" w14:textId="77777777" w:rsidR="002E183C" w:rsidRPr="00B85E4D" w:rsidRDefault="002E183C" w:rsidP="002E183C">
      <w:pPr>
        <w:spacing w:after="0"/>
        <w:ind w:firstLine="708"/>
        <w:rPr>
          <w:sz w:val="24"/>
          <w:szCs w:val="24"/>
          <w:lang w:val="en-GB"/>
        </w:rPr>
      </w:pPr>
      <w:proofErr w:type="spellStart"/>
      <w:r w:rsidRPr="00B85E4D">
        <w:rPr>
          <w:sz w:val="24"/>
          <w:szCs w:val="24"/>
          <w:lang w:val="en-GB"/>
        </w:rPr>
        <w:t>AddOn</w:t>
      </w:r>
      <w:r w:rsidRPr="00B85E4D">
        <w:rPr>
          <w:sz w:val="24"/>
          <w:szCs w:val="24"/>
          <w:vertAlign w:val="subscript"/>
          <w:lang w:val="en-GB"/>
        </w:rPr>
        <w:t>j</w:t>
      </w:r>
      <w:r w:rsidRPr="00B85E4D">
        <w:rPr>
          <w:sz w:val="24"/>
          <w:szCs w:val="24"/>
          <w:vertAlign w:val="superscript"/>
          <w:lang w:val="en-GB"/>
        </w:rPr>
        <w:t>Com</w:t>
      </w:r>
      <w:proofErr w:type="spellEnd"/>
      <w:r w:rsidRPr="00B85E4D">
        <w:rPr>
          <w:sz w:val="24"/>
          <w:szCs w:val="24"/>
          <w:lang w:val="en-GB"/>
        </w:rPr>
        <w:t xml:space="preserve"> = the commodity risk category add-on for hedging set </w:t>
      </w:r>
      <w:proofErr w:type="gramStart"/>
      <w:r w:rsidRPr="00B85E4D">
        <w:rPr>
          <w:i/>
          <w:iCs/>
          <w:sz w:val="24"/>
          <w:szCs w:val="24"/>
          <w:lang w:val="en-GB"/>
        </w:rPr>
        <w:t>j</w:t>
      </w:r>
      <w:r w:rsidRPr="00B85E4D">
        <w:rPr>
          <w:sz w:val="24"/>
          <w:szCs w:val="24"/>
          <w:lang w:val="en-GB"/>
        </w:rPr>
        <w:t>;</w:t>
      </w:r>
      <w:proofErr w:type="gramEnd"/>
      <w:r w:rsidRPr="00B85E4D">
        <w:rPr>
          <w:sz w:val="24"/>
          <w:szCs w:val="24"/>
          <w:lang w:val="en-GB"/>
        </w:rPr>
        <w:t xml:space="preserve"> </w:t>
      </w:r>
    </w:p>
    <w:p w14:paraId="3C91FE1F" w14:textId="25792388" w:rsidR="002E183C" w:rsidRPr="00B85E4D" w:rsidRDefault="002E183C" w:rsidP="002E183C">
      <w:pPr>
        <w:spacing w:after="0"/>
        <w:ind w:firstLine="708"/>
        <w:rPr>
          <w:sz w:val="24"/>
          <w:szCs w:val="24"/>
          <w:lang w:val="en-GB"/>
        </w:rPr>
      </w:pPr>
      <w:proofErr w:type="spellStart"/>
      <w:r w:rsidRPr="00B85E4D">
        <w:rPr>
          <w:sz w:val="24"/>
          <w:szCs w:val="24"/>
          <w:lang w:val="en-GB"/>
        </w:rPr>
        <w:t>єj</w:t>
      </w:r>
      <w:proofErr w:type="spellEnd"/>
      <w:r w:rsidRPr="00B85E4D">
        <w:rPr>
          <w:sz w:val="24"/>
          <w:szCs w:val="24"/>
          <w:lang w:val="en-GB"/>
        </w:rPr>
        <w:t xml:space="preserve"> = the hedging set supervisory factor coefficient established by National Bank of Moldova of hedging set </w:t>
      </w:r>
      <w:r w:rsidRPr="00B85E4D">
        <w:rPr>
          <w:i/>
          <w:iCs/>
          <w:sz w:val="24"/>
          <w:szCs w:val="24"/>
          <w:lang w:val="en-GB"/>
        </w:rPr>
        <w:t>j</w:t>
      </w:r>
      <w:r w:rsidRPr="00B85E4D">
        <w:rPr>
          <w:sz w:val="24"/>
          <w:szCs w:val="24"/>
          <w:lang w:val="en-GB"/>
        </w:rPr>
        <w:t xml:space="preserve"> determined in accordance with paragraph </w:t>
      </w:r>
      <w:proofErr w:type="gramStart"/>
      <w:r w:rsidRPr="00B85E4D">
        <w:rPr>
          <w:sz w:val="24"/>
          <w:szCs w:val="24"/>
          <w:lang w:val="en-GB"/>
        </w:rPr>
        <w:t>77;</w:t>
      </w:r>
      <w:proofErr w:type="gramEnd"/>
      <w:r w:rsidRPr="00B85E4D">
        <w:rPr>
          <w:sz w:val="24"/>
          <w:szCs w:val="24"/>
          <w:lang w:val="en-GB"/>
        </w:rPr>
        <w:t xml:space="preserve"> </w:t>
      </w:r>
    </w:p>
    <w:p w14:paraId="7EAAB10A" w14:textId="77777777" w:rsidR="002E183C" w:rsidRPr="00B85E4D" w:rsidRDefault="002E183C" w:rsidP="002E183C">
      <w:pPr>
        <w:spacing w:after="0"/>
        <w:ind w:firstLine="708"/>
        <w:rPr>
          <w:sz w:val="24"/>
          <w:szCs w:val="24"/>
          <w:lang w:val="en-GB"/>
        </w:rPr>
      </w:pPr>
      <w:proofErr w:type="spellStart"/>
      <w:r w:rsidRPr="00B85E4D">
        <w:rPr>
          <w:sz w:val="24"/>
          <w:szCs w:val="24"/>
          <w:lang w:val="en-GB"/>
        </w:rPr>
        <w:t>ρ</w:t>
      </w:r>
      <w:r w:rsidRPr="00B85E4D">
        <w:rPr>
          <w:sz w:val="24"/>
          <w:szCs w:val="24"/>
          <w:vertAlign w:val="superscript"/>
          <w:lang w:val="en-GB"/>
        </w:rPr>
        <w:t>Com</w:t>
      </w:r>
      <w:proofErr w:type="spellEnd"/>
      <w:r w:rsidRPr="00B85E4D">
        <w:rPr>
          <w:sz w:val="24"/>
          <w:szCs w:val="24"/>
          <w:lang w:val="en-GB"/>
        </w:rPr>
        <w:t xml:space="preserve"> = the correlation factor of the commodity risk category with a value equal to </w:t>
      </w:r>
      <w:proofErr w:type="gramStart"/>
      <w:r w:rsidRPr="00B85E4D">
        <w:rPr>
          <w:sz w:val="24"/>
          <w:szCs w:val="24"/>
          <w:lang w:val="en-GB"/>
        </w:rPr>
        <w:t>40 %;</w:t>
      </w:r>
      <w:proofErr w:type="gramEnd"/>
      <w:r w:rsidRPr="00B85E4D">
        <w:rPr>
          <w:sz w:val="24"/>
          <w:szCs w:val="24"/>
          <w:lang w:val="en-GB"/>
        </w:rPr>
        <w:t xml:space="preserve"> </w:t>
      </w:r>
    </w:p>
    <w:p w14:paraId="61163781" w14:textId="3D3B37DF" w:rsidR="002E183C" w:rsidRPr="00B85E4D" w:rsidRDefault="002E183C" w:rsidP="002E183C">
      <w:pPr>
        <w:spacing w:after="0"/>
        <w:ind w:firstLine="708"/>
        <w:rPr>
          <w:sz w:val="24"/>
          <w:szCs w:val="24"/>
          <w:lang w:val="en-GB"/>
        </w:rPr>
      </w:pPr>
      <w:r w:rsidRPr="00B85E4D">
        <w:rPr>
          <w:sz w:val="24"/>
          <w:szCs w:val="24"/>
          <w:lang w:val="en-GB"/>
        </w:rPr>
        <w:t xml:space="preserve">k = the index that denotes the commodity reference types of the netting set established in accordance with paragraph 93; and </w:t>
      </w:r>
    </w:p>
    <w:p w14:paraId="0389B9A4" w14:textId="77777777" w:rsidR="002E183C" w:rsidRPr="00B85E4D" w:rsidRDefault="002E183C" w:rsidP="002E183C">
      <w:pPr>
        <w:spacing w:after="0"/>
        <w:ind w:firstLine="708"/>
        <w:rPr>
          <w:sz w:val="24"/>
          <w:szCs w:val="24"/>
          <w:lang w:val="en-GB"/>
        </w:rPr>
      </w:pPr>
      <w:proofErr w:type="spellStart"/>
      <w:proofErr w:type="gramStart"/>
      <w:r w:rsidRPr="00B85E4D">
        <w:rPr>
          <w:rFonts w:eastAsia="Times New Roman" w:cs="Times New Roman"/>
          <w:sz w:val="24"/>
          <w:szCs w:val="24"/>
          <w:lang w:val="en-GB" w:eastAsia="ro-MD"/>
        </w:rPr>
        <w:t>AddOn</w:t>
      </w:r>
      <w:proofErr w:type="spellEnd"/>
      <w:r w:rsidRPr="00B85E4D">
        <w:rPr>
          <w:rFonts w:eastAsia="Times New Roman" w:cs="Times New Roman"/>
          <w:sz w:val="24"/>
          <w:szCs w:val="24"/>
          <w:lang w:val="en-GB" w:eastAsia="ro-MD"/>
        </w:rPr>
        <w:t>(</w:t>
      </w:r>
      <w:proofErr w:type="spellStart"/>
      <w:proofErr w:type="gramEnd"/>
      <w:r w:rsidRPr="00B85E4D">
        <w:rPr>
          <w:rFonts w:eastAsia="Times New Roman" w:cs="Times New Roman"/>
          <w:sz w:val="24"/>
          <w:szCs w:val="24"/>
          <w:lang w:val="en-GB" w:eastAsia="ro-MD"/>
        </w:rPr>
        <w:t>Tip</w:t>
      </w:r>
      <w:r w:rsidRPr="00B85E4D">
        <w:rPr>
          <w:rFonts w:eastAsia="Times New Roman" w:cs="Times New Roman"/>
          <w:sz w:val="24"/>
          <w:szCs w:val="24"/>
          <w:vertAlign w:val="subscript"/>
          <w:lang w:val="en-GB" w:eastAsia="ro-MD"/>
        </w:rPr>
        <w:t>k</w:t>
      </w:r>
      <w:r w:rsidRPr="00B85E4D">
        <w:rPr>
          <w:rFonts w:eastAsia="Times New Roman" w:cs="Times New Roman"/>
          <w:sz w:val="24"/>
          <w:szCs w:val="24"/>
          <w:vertAlign w:val="superscript"/>
          <w:lang w:val="en-GB" w:eastAsia="ro-MD"/>
        </w:rPr>
        <w:t>j</w:t>
      </w:r>
      <w:proofErr w:type="spellEnd"/>
      <w:r w:rsidRPr="00B85E4D">
        <w:rPr>
          <w:rFonts w:eastAsia="Times New Roman" w:cs="Times New Roman"/>
          <w:sz w:val="24"/>
          <w:szCs w:val="24"/>
          <w:lang w:val="en-GB" w:eastAsia="ro-MD"/>
        </w:rPr>
        <w:t xml:space="preserve">) </w:t>
      </w:r>
      <w:r w:rsidRPr="00B85E4D">
        <w:rPr>
          <w:sz w:val="24"/>
          <w:szCs w:val="24"/>
          <w:lang w:val="en-GB"/>
        </w:rPr>
        <w:t xml:space="preserve">= the add-on for the commodity reference type </w:t>
      </w:r>
      <w:r w:rsidRPr="00B85E4D">
        <w:rPr>
          <w:i/>
          <w:iCs/>
          <w:sz w:val="24"/>
          <w:szCs w:val="24"/>
          <w:lang w:val="en-GB"/>
        </w:rPr>
        <w:t>k</w:t>
      </w:r>
      <w:r w:rsidRPr="00B85E4D">
        <w:rPr>
          <w:sz w:val="24"/>
          <w:szCs w:val="24"/>
          <w:lang w:val="en-GB"/>
        </w:rPr>
        <w:t xml:space="preserve"> calculated in accordance with paragraph 96. </w:t>
      </w:r>
    </w:p>
    <w:p w14:paraId="2C155800" w14:textId="21AD0CB1" w:rsidR="002A1FCB" w:rsidRPr="00B85E4D" w:rsidRDefault="002E183C" w:rsidP="002E183C">
      <w:pPr>
        <w:spacing w:after="0"/>
        <w:ind w:firstLine="708"/>
        <w:rPr>
          <w:sz w:val="24"/>
          <w:szCs w:val="24"/>
          <w:lang w:val="en-GB"/>
        </w:rPr>
      </w:pPr>
      <w:r w:rsidRPr="00B85E4D">
        <w:rPr>
          <w:b/>
          <w:bCs/>
          <w:sz w:val="24"/>
          <w:szCs w:val="24"/>
          <w:lang w:val="en-GB"/>
        </w:rPr>
        <w:t>96.</w:t>
      </w:r>
      <w:r w:rsidRPr="00B85E4D">
        <w:rPr>
          <w:sz w:val="24"/>
          <w:szCs w:val="24"/>
          <w:lang w:val="en-GB"/>
        </w:rPr>
        <w:t xml:space="preserve"> </w:t>
      </w:r>
      <w:proofErr w:type="spellStart"/>
      <w:r w:rsidRPr="00B85E4D">
        <w:rPr>
          <w:sz w:val="24"/>
          <w:szCs w:val="24"/>
          <w:lang w:val="en-GB"/>
        </w:rPr>
        <w:t>Baks</w:t>
      </w:r>
      <w:proofErr w:type="spellEnd"/>
      <w:r w:rsidRPr="00B85E4D">
        <w:rPr>
          <w:sz w:val="24"/>
          <w:szCs w:val="24"/>
          <w:lang w:val="en-GB"/>
        </w:rPr>
        <w:t xml:space="preserve"> shall calculate the add-on for the commodity reference type </w:t>
      </w:r>
      <w:r w:rsidRPr="00B85E4D">
        <w:rPr>
          <w:i/>
          <w:iCs/>
          <w:sz w:val="24"/>
          <w:szCs w:val="24"/>
          <w:lang w:val="en-GB"/>
        </w:rPr>
        <w:t>k</w:t>
      </w:r>
      <w:r w:rsidRPr="00B85E4D">
        <w:rPr>
          <w:sz w:val="24"/>
          <w:szCs w:val="24"/>
          <w:lang w:val="en-GB"/>
        </w:rPr>
        <w:t xml:space="preserve"> as follows:</w:t>
      </w:r>
    </w:p>
    <w:p w14:paraId="5D497C77" w14:textId="54BBEBF8" w:rsidR="002A1FCB" w:rsidRPr="00B85E4D" w:rsidRDefault="002E183C" w:rsidP="00B578C7">
      <w:pPr>
        <w:spacing w:after="0"/>
        <w:jc w:val="center"/>
        <w:rPr>
          <w:b/>
          <w:bCs/>
          <w:lang w:val="en-GB"/>
        </w:rPr>
      </w:pPr>
      <w:r w:rsidRPr="00B85E4D">
        <w:rPr>
          <w:b/>
          <w:bCs/>
          <w:noProof/>
          <w:lang w:val="en-GB"/>
        </w:rPr>
        <w:drawing>
          <wp:inline distT="0" distB="0" distL="0" distR="0" wp14:anchorId="48587956" wp14:editId="0533B5D5">
            <wp:extent cx="2715004" cy="371527"/>
            <wp:effectExtent l="0" t="0" r="0" b="9525"/>
            <wp:docPr id="166225271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52717" name=""/>
                    <pic:cNvPicPr/>
                  </pic:nvPicPr>
                  <pic:blipFill>
                    <a:blip r:embed="rId36"/>
                    <a:stretch>
                      <a:fillRect/>
                    </a:stretch>
                  </pic:blipFill>
                  <pic:spPr>
                    <a:xfrm>
                      <a:off x="0" y="0"/>
                      <a:ext cx="2715004" cy="371527"/>
                    </a:xfrm>
                    <a:prstGeom prst="rect">
                      <a:avLst/>
                    </a:prstGeom>
                  </pic:spPr>
                </pic:pic>
              </a:graphicData>
            </a:graphic>
          </wp:inline>
        </w:drawing>
      </w:r>
    </w:p>
    <w:p w14:paraId="0A8983E2" w14:textId="77777777" w:rsidR="002A1FCB" w:rsidRPr="00B85E4D" w:rsidRDefault="002A1FCB" w:rsidP="002E183C">
      <w:pPr>
        <w:spacing w:after="0"/>
        <w:rPr>
          <w:b/>
          <w:bCs/>
          <w:lang w:val="en-GB"/>
        </w:rPr>
      </w:pPr>
    </w:p>
    <w:p w14:paraId="796FE469" w14:textId="77777777" w:rsidR="002E183C" w:rsidRPr="00B85E4D" w:rsidRDefault="002E183C" w:rsidP="002E183C">
      <w:pPr>
        <w:spacing w:after="0"/>
        <w:rPr>
          <w:lang w:val="en-GB"/>
        </w:rPr>
      </w:pPr>
      <w:r w:rsidRPr="00B85E4D">
        <w:rPr>
          <w:lang w:val="en-GB"/>
        </w:rPr>
        <w:t xml:space="preserve">where: </w:t>
      </w:r>
    </w:p>
    <w:p w14:paraId="2848AB1B" w14:textId="468855E4" w:rsidR="002E183C" w:rsidRPr="00B85E4D" w:rsidRDefault="002E183C" w:rsidP="002E183C">
      <w:pPr>
        <w:spacing w:after="0"/>
        <w:rPr>
          <w:lang w:val="en-GB"/>
        </w:rPr>
      </w:pPr>
      <w:proofErr w:type="spellStart"/>
      <w:proofErr w:type="gramStart"/>
      <w:r w:rsidRPr="00B85E4D">
        <w:rPr>
          <w:lang w:val="en-GB"/>
        </w:rPr>
        <w:t>AddOn</w:t>
      </w:r>
      <w:proofErr w:type="spellEnd"/>
      <w:r w:rsidRPr="00B85E4D">
        <w:rPr>
          <w:lang w:val="en-GB"/>
        </w:rPr>
        <w:t>(</w:t>
      </w:r>
      <w:proofErr w:type="spellStart"/>
      <w:proofErr w:type="gramEnd"/>
      <w:r w:rsidRPr="00B85E4D">
        <w:rPr>
          <w:lang w:val="en-GB"/>
        </w:rPr>
        <w:t>Type</w:t>
      </w:r>
      <w:r w:rsidRPr="00B85E4D">
        <w:rPr>
          <w:vertAlign w:val="superscript"/>
          <w:lang w:val="en-GB"/>
        </w:rPr>
        <w:t>j</w:t>
      </w:r>
      <w:r w:rsidRPr="00B85E4D">
        <w:rPr>
          <w:vertAlign w:val="subscript"/>
          <w:lang w:val="en-GB"/>
        </w:rPr>
        <w:t>k</w:t>
      </w:r>
      <w:proofErr w:type="spellEnd"/>
      <w:r w:rsidRPr="00B85E4D">
        <w:rPr>
          <w:lang w:val="en-GB"/>
        </w:rPr>
        <w:t xml:space="preserve">) = the add-on for the commodity reference type </w:t>
      </w:r>
      <w:r w:rsidRPr="00B85E4D">
        <w:rPr>
          <w:i/>
          <w:iCs/>
          <w:lang w:val="en-GB"/>
        </w:rPr>
        <w:t>k</w:t>
      </w:r>
      <w:r w:rsidRPr="00B85E4D">
        <w:rPr>
          <w:lang w:val="en-GB"/>
        </w:rPr>
        <w:t xml:space="preserve">; </w:t>
      </w:r>
    </w:p>
    <w:p w14:paraId="7EC2AADD" w14:textId="70038C97" w:rsidR="002E183C" w:rsidRPr="00B85E4D" w:rsidRDefault="002E183C" w:rsidP="002E183C">
      <w:pPr>
        <w:spacing w:after="0"/>
        <w:rPr>
          <w:lang w:val="en-GB"/>
        </w:rPr>
      </w:pPr>
      <w:proofErr w:type="spellStart"/>
      <w:r w:rsidRPr="00B85E4D">
        <w:rPr>
          <w:rFonts w:eastAsia="Times New Roman" w:cs="Times New Roman"/>
          <w:sz w:val="24"/>
          <w:szCs w:val="24"/>
          <w:lang w:val="en-GB" w:eastAsia="ro-MD"/>
        </w:rPr>
        <w:t>SF</w:t>
      </w:r>
      <w:r w:rsidRPr="00B85E4D">
        <w:rPr>
          <w:rFonts w:eastAsia="Times New Roman" w:cs="Times New Roman"/>
          <w:sz w:val="24"/>
          <w:szCs w:val="24"/>
          <w:vertAlign w:val="subscript"/>
          <w:lang w:val="en-GB" w:eastAsia="ro-MD"/>
        </w:rPr>
        <w:t>k</w:t>
      </w:r>
      <w:r w:rsidRPr="00B85E4D">
        <w:rPr>
          <w:rFonts w:eastAsia="Times New Roman" w:cs="Times New Roman"/>
          <w:sz w:val="24"/>
          <w:szCs w:val="24"/>
          <w:vertAlign w:val="superscript"/>
          <w:lang w:val="en-GB" w:eastAsia="ro-MD"/>
        </w:rPr>
        <w:t>Com</w:t>
      </w:r>
      <w:proofErr w:type="spellEnd"/>
      <w:r w:rsidRPr="00B85E4D">
        <w:rPr>
          <w:lang w:val="en-GB"/>
        </w:rPr>
        <w:t xml:space="preserve"> = the factor established by National Bank of Moldova applicable to the commodity reference type k; where the commodity reference type k corresponds to transactions allocated to the hedging set referred to in paragraph 59, subparagraph 59.5., excluding transactions concerning electricity</w:t>
      </w:r>
      <w:r w:rsidR="00D34ED1" w:rsidRPr="00B85E4D">
        <w:rPr>
          <w:lang w:val="en-GB"/>
        </w:rPr>
        <w:t xml:space="preserve"> </w:t>
      </w:r>
      <w:proofErr w:type="spellStart"/>
      <w:r w:rsidR="00D34ED1" w:rsidRPr="00B85E4D">
        <w:rPr>
          <w:rFonts w:eastAsia="Times New Roman" w:cs="Times New Roman"/>
          <w:sz w:val="24"/>
          <w:szCs w:val="24"/>
          <w:lang w:val="en-GB" w:eastAsia="ro-MD"/>
        </w:rPr>
        <w:t>SF</w:t>
      </w:r>
      <w:r w:rsidR="00D34ED1" w:rsidRPr="00B85E4D">
        <w:rPr>
          <w:rFonts w:eastAsia="Times New Roman" w:cs="Times New Roman"/>
          <w:sz w:val="24"/>
          <w:szCs w:val="24"/>
          <w:vertAlign w:val="subscript"/>
          <w:lang w:val="en-GB" w:eastAsia="ro-MD"/>
        </w:rPr>
        <w:t>k</w:t>
      </w:r>
      <w:r w:rsidR="00D34ED1" w:rsidRPr="00B85E4D">
        <w:rPr>
          <w:rFonts w:eastAsia="Times New Roman" w:cs="Times New Roman"/>
          <w:sz w:val="24"/>
          <w:szCs w:val="24"/>
          <w:vertAlign w:val="superscript"/>
          <w:lang w:val="en-GB" w:eastAsia="ro-MD"/>
        </w:rPr>
        <w:t>Com</w:t>
      </w:r>
      <w:proofErr w:type="spellEnd"/>
      <w:r w:rsidR="00D34ED1" w:rsidRPr="00B85E4D">
        <w:rPr>
          <w:lang w:val="en-GB"/>
        </w:rPr>
        <w:t xml:space="preserve"> =18%.</w:t>
      </w:r>
      <w:r w:rsidRPr="00B85E4D">
        <w:rPr>
          <w:lang w:val="en-GB"/>
        </w:rPr>
        <w:t xml:space="preserve"> </w:t>
      </w:r>
      <w:r w:rsidR="00D34ED1" w:rsidRPr="00B85E4D">
        <w:rPr>
          <w:lang w:val="en-GB"/>
        </w:rPr>
        <w:t>F</w:t>
      </w:r>
      <w:r w:rsidRPr="00B85E4D">
        <w:rPr>
          <w:lang w:val="en-GB"/>
        </w:rPr>
        <w:t>or transactions concerning electricity</w:t>
      </w:r>
      <w:r w:rsidR="00D34ED1" w:rsidRPr="00B85E4D">
        <w:rPr>
          <w:lang w:val="en-GB"/>
        </w:rPr>
        <w:t xml:space="preserve"> </w:t>
      </w:r>
      <w:proofErr w:type="spellStart"/>
      <w:r w:rsidR="00D34ED1" w:rsidRPr="00B85E4D">
        <w:rPr>
          <w:rFonts w:eastAsia="Times New Roman" w:cs="Times New Roman"/>
          <w:sz w:val="24"/>
          <w:szCs w:val="24"/>
          <w:lang w:val="en-GB" w:eastAsia="ro-MD"/>
        </w:rPr>
        <w:t>SF</w:t>
      </w:r>
      <w:r w:rsidR="00D34ED1" w:rsidRPr="00B85E4D">
        <w:rPr>
          <w:rFonts w:eastAsia="Times New Roman" w:cs="Times New Roman"/>
          <w:sz w:val="24"/>
          <w:szCs w:val="24"/>
          <w:vertAlign w:val="subscript"/>
          <w:lang w:val="en-GB" w:eastAsia="ro-MD"/>
        </w:rPr>
        <w:t>k</w:t>
      </w:r>
      <w:r w:rsidR="00D34ED1" w:rsidRPr="00B85E4D">
        <w:rPr>
          <w:rFonts w:eastAsia="Times New Roman" w:cs="Times New Roman"/>
          <w:sz w:val="24"/>
          <w:szCs w:val="24"/>
          <w:vertAlign w:val="superscript"/>
          <w:lang w:val="en-GB" w:eastAsia="ro-MD"/>
        </w:rPr>
        <w:t>Com</w:t>
      </w:r>
      <w:proofErr w:type="spellEnd"/>
      <w:r w:rsidR="00D34ED1" w:rsidRPr="00B85E4D">
        <w:rPr>
          <w:lang w:val="en-GB"/>
        </w:rPr>
        <w:t xml:space="preserve"> =40</w:t>
      </w:r>
      <w:proofErr w:type="gramStart"/>
      <w:r w:rsidR="00D34ED1" w:rsidRPr="00B85E4D">
        <w:rPr>
          <w:lang w:val="en-GB"/>
        </w:rPr>
        <w:t xml:space="preserve">%. </w:t>
      </w:r>
      <w:r w:rsidRPr="00B85E4D">
        <w:rPr>
          <w:lang w:val="en-GB"/>
        </w:rPr>
        <w:t xml:space="preserve"> ;</w:t>
      </w:r>
      <w:proofErr w:type="gramEnd"/>
      <w:r w:rsidRPr="00B85E4D">
        <w:rPr>
          <w:lang w:val="en-GB"/>
        </w:rPr>
        <w:t xml:space="preserve"> and </w:t>
      </w:r>
    </w:p>
    <w:p w14:paraId="32791D51" w14:textId="77777777" w:rsidR="00D34ED1" w:rsidRPr="00B85E4D" w:rsidRDefault="002E183C" w:rsidP="002E183C">
      <w:pPr>
        <w:spacing w:after="0"/>
        <w:rPr>
          <w:lang w:val="en-GB"/>
        </w:rPr>
      </w:pPr>
      <w:proofErr w:type="spellStart"/>
      <w:r w:rsidRPr="00B85E4D">
        <w:rPr>
          <w:lang w:val="en-GB"/>
        </w:rPr>
        <w:t>EffNot</w:t>
      </w:r>
      <w:r w:rsidR="00D34ED1" w:rsidRPr="00B85E4D">
        <w:rPr>
          <w:vertAlign w:val="subscript"/>
          <w:lang w:val="en-GB"/>
        </w:rPr>
        <w:t>k</w:t>
      </w:r>
      <w:r w:rsidRPr="00B85E4D">
        <w:rPr>
          <w:vertAlign w:val="superscript"/>
          <w:lang w:val="en-GB"/>
        </w:rPr>
        <w:t>Com</w:t>
      </w:r>
      <w:proofErr w:type="spellEnd"/>
      <w:r w:rsidRPr="00B85E4D">
        <w:rPr>
          <w:lang w:val="en-GB"/>
        </w:rPr>
        <w:t xml:space="preserve">= the effective notional amount of the commodity reference type </w:t>
      </w:r>
      <w:r w:rsidRPr="00B85E4D">
        <w:rPr>
          <w:i/>
          <w:iCs/>
          <w:lang w:val="en-GB"/>
        </w:rPr>
        <w:t xml:space="preserve">k </w:t>
      </w:r>
      <w:r w:rsidRPr="00B85E4D">
        <w:rPr>
          <w:lang w:val="en-GB"/>
        </w:rPr>
        <w:t xml:space="preserve">calculated as follows: </w:t>
      </w:r>
    </w:p>
    <w:p w14:paraId="57A12BB8" w14:textId="3BDA5EEA" w:rsidR="00D34ED1" w:rsidRPr="00B85E4D" w:rsidRDefault="00D34ED1" w:rsidP="00D34ED1">
      <w:pPr>
        <w:spacing w:after="0"/>
        <w:jc w:val="center"/>
        <w:rPr>
          <w:lang w:val="en-GB"/>
        </w:rPr>
      </w:pPr>
      <w:r w:rsidRPr="00B85E4D">
        <w:rPr>
          <w:noProof/>
          <w:lang w:val="en-GB"/>
        </w:rPr>
        <w:drawing>
          <wp:inline distT="0" distB="0" distL="0" distR="0" wp14:anchorId="4378186A" wp14:editId="714D7970">
            <wp:extent cx="3600953" cy="523948"/>
            <wp:effectExtent l="0" t="0" r="0" b="9525"/>
            <wp:docPr id="85730654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06545" name=""/>
                    <pic:cNvPicPr/>
                  </pic:nvPicPr>
                  <pic:blipFill>
                    <a:blip r:embed="rId37"/>
                    <a:stretch>
                      <a:fillRect/>
                    </a:stretch>
                  </pic:blipFill>
                  <pic:spPr>
                    <a:xfrm>
                      <a:off x="0" y="0"/>
                      <a:ext cx="3600953" cy="523948"/>
                    </a:xfrm>
                    <a:prstGeom prst="rect">
                      <a:avLst/>
                    </a:prstGeom>
                  </pic:spPr>
                </pic:pic>
              </a:graphicData>
            </a:graphic>
          </wp:inline>
        </w:drawing>
      </w:r>
    </w:p>
    <w:p w14:paraId="50A5BC78" w14:textId="0411D8D6" w:rsidR="00D34ED1" w:rsidRPr="00B85E4D" w:rsidRDefault="00D34ED1" w:rsidP="002E183C">
      <w:pPr>
        <w:spacing w:after="0"/>
        <w:rPr>
          <w:lang w:val="en-GB"/>
        </w:rPr>
      </w:pPr>
      <w:r w:rsidRPr="00B85E4D">
        <w:rPr>
          <w:lang w:val="en-GB"/>
        </w:rPr>
        <w:t>where:</w:t>
      </w:r>
    </w:p>
    <w:p w14:paraId="66508EE5" w14:textId="24FD6B6F" w:rsidR="002E183C" w:rsidRPr="00B85E4D" w:rsidRDefault="002E183C" w:rsidP="002E183C">
      <w:pPr>
        <w:spacing w:after="0"/>
        <w:rPr>
          <w:lang w:val="en-GB"/>
        </w:rPr>
      </w:pPr>
      <w:r w:rsidRPr="00B85E4D">
        <w:rPr>
          <w:lang w:val="en-GB"/>
        </w:rPr>
        <w:t>l = the index that denotes the risk position</w:t>
      </w:r>
    </w:p>
    <w:p w14:paraId="090F0DFF" w14:textId="77777777" w:rsidR="00D34ED1" w:rsidRPr="00B85E4D" w:rsidRDefault="00D34ED1" w:rsidP="0006117A">
      <w:pPr>
        <w:spacing w:after="0"/>
        <w:rPr>
          <w:b/>
          <w:bCs/>
          <w:lang w:val="en-GB"/>
        </w:rPr>
      </w:pPr>
    </w:p>
    <w:p w14:paraId="37C9BC07" w14:textId="77777777" w:rsidR="0006117A" w:rsidRPr="0006117A" w:rsidRDefault="0006117A" w:rsidP="0006117A">
      <w:pPr>
        <w:spacing w:after="0"/>
        <w:jc w:val="center"/>
        <w:rPr>
          <w:b/>
          <w:bCs/>
          <w:sz w:val="24"/>
          <w:szCs w:val="24"/>
          <w:lang w:val="en-GB"/>
        </w:rPr>
      </w:pPr>
      <w:r w:rsidRPr="00EA4392">
        <w:rPr>
          <w:i/>
          <w:iCs/>
          <w:sz w:val="24"/>
          <w:szCs w:val="24"/>
          <w:lang w:val="en-GB"/>
        </w:rPr>
        <w:t>Section 15</w:t>
      </w:r>
      <w:r w:rsidRPr="0006117A">
        <w:rPr>
          <w:i/>
          <w:iCs/>
          <w:lang w:val="en-GB"/>
        </w:rPr>
        <w:br/>
      </w:r>
      <w:r w:rsidRPr="0006117A">
        <w:rPr>
          <w:b/>
          <w:bCs/>
          <w:sz w:val="24"/>
          <w:szCs w:val="24"/>
          <w:lang w:val="en-GB"/>
        </w:rPr>
        <w:t>Add-on for the other risk category</w:t>
      </w:r>
    </w:p>
    <w:p w14:paraId="074F11A4" w14:textId="77777777" w:rsidR="0006117A" w:rsidRPr="00B85E4D" w:rsidRDefault="0006117A" w:rsidP="0006117A">
      <w:pPr>
        <w:spacing w:after="0"/>
        <w:rPr>
          <w:b/>
          <w:bCs/>
          <w:sz w:val="24"/>
          <w:szCs w:val="24"/>
          <w:lang w:val="en-GB"/>
        </w:rPr>
      </w:pPr>
    </w:p>
    <w:p w14:paraId="513F29FE" w14:textId="2145F6BF" w:rsidR="0006117A" w:rsidRPr="0006117A" w:rsidRDefault="0006117A" w:rsidP="0006117A">
      <w:pPr>
        <w:spacing w:after="0"/>
        <w:ind w:firstLine="708"/>
        <w:rPr>
          <w:sz w:val="24"/>
          <w:szCs w:val="24"/>
          <w:lang w:val="en-GB"/>
        </w:rPr>
      </w:pPr>
      <w:r w:rsidRPr="0006117A">
        <w:rPr>
          <w:sz w:val="24"/>
          <w:szCs w:val="24"/>
          <w:lang w:val="en-GB"/>
        </w:rPr>
        <w:t xml:space="preserve">97. For the purposes of paragraphs 66–68, </w:t>
      </w:r>
      <w:r w:rsidRPr="00B85E4D">
        <w:rPr>
          <w:sz w:val="24"/>
          <w:szCs w:val="24"/>
          <w:lang w:val="en-GB"/>
        </w:rPr>
        <w:t>banks</w:t>
      </w:r>
      <w:r w:rsidRPr="0006117A">
        <w:rPr>
          <w:sz w:val="24"/>
          <w:szCs w:val="24"/>
          <w:lang w:val="en-GB"/>
        </w:rPr>
        <w:t xml:space="preserve"> shall calculate the add-on for the other risk category for a given netting set as follows:</w:t>
      </w:r>
    </w:p>
    <w:p w14:paraId="5BE090A7" w14:textId="77777777" w:rsidR="0006117A" w:rsidRPr="00B85E4D" w:rsidRDefault="0006117A" w:rsidP="0006117A">
      <w:pPr>
        <w:spacing w:after="0"/>
        <w:rPr>
          <w:lang w:val="en-GB"/>
        </w:rPr>
      </w:pPr>
    </w:p>
    <w:p w14:paraId="78DE73E2" w14:textId="66DF3B72" w:rsidR="00D34ED1" w:rsidRPr="00B85E4D" w:rsidRDefault="0006117A" w:rsidP="00B578C7">
      <w:pPr>
        <w:spacing w:after="0"/>
        <w:jc w:val="center"/>
        <w:rPr>
          <w:b/>
          <w:bCs/>
          <w:lang w:val="en-GB"/>
        </w:rPr>
      </w:pPr>
      <w:r w:rsidRPr="00B85E4D">
        <w:rPr>
          <w:b/>
          <w:bCs/>
          <w:noProof/>
          <w:lang w:val="en-GB"/>
        </w:rPr>
        <w:drawing>
          <wp:inline distT="0" distB="0" distL="0" distR="0" wp14:anchorId="1CF8666C" wp14:editId="007E0731">
            <wp:extent cx="3048425" cy="466790"/>
            <wp:effectExtent l="0" t="0" r="0" b="9525"/>
            <wp:docPr id="30092252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22520" name=""/>
                    <pic:cNvPicPr/>
                  </pic:nvPicPr>
                  <pic:blipFill>
                    <a:blip r:embed="rId38"/>
                    <a:stretch>
                      <a:fillRect/>
                    </a:stretch>
                  </pic:blipFill>
                  <pic:spPr>
                    <a:xfrm>
                      <a:off x="0" y="0"/>
                      <a:ext cx="3048425" cy="466790"/>
                    </a:xfrm>
                    <a:prstGeom prst="rect">
                      <a:avLst/>
                    </a:prstGeom>
                  </pic:spPr>
                </pic:pic>
              </a:graphicData>
            </a:graphic>
          </wp:inline>
        </w:drawing>
      </w:r>
    </w:p>
    <w:p w14:paraId="5E32580D" w14:textId="77777777" w:rsidR="00D34ED1" w:rsidRPr="00B85E4D" w:rsidRDefault="00D34ED1" w:rsidP="0006117A">
      <w:pPr>
        <w:spacing w:after="0"/>
        <w:rPr>
          <w:b/>
          <w:bCs/>
          <w:lang w:val="en-GB"/>
        </w:rPr>
      </w:pPr>
    </w:p>
    <w:p w14:paraId="743D1AD3" w14:textId="274C51AF" w:rsidR="0006117A" w:rsidRPr="0006117A" w:rsidRDefault="0006117A" w:rsidP="0006117A">
      <w:pPr>
        <w:spacing w:after="0"/>
        <w:ind w:left="708"/>
        <w:rPr>
          <w:sz w:val="24"/>
          <w:szCs w:val="24"/>
          <w:lang w:val="en-GB"/>
        </w:rPr>
      </w:pPr>
      <w:r w:rsidRPr="00B85E4D">
        <w:rPr>
          <w:sz w:val="24"/>
          <w:szCs w:val="24"/>
          <w:lang w:val="en-GB"/>
        </w:rPr>
        <w:t>w</w:t>
      </w:r>
      <w:r w:rsidRPr="0006117A">
        <w:rPr>
          <w:sz w:val="24"/>
          <w:szCs w:val="24"/>
          <w:lang w:val="en-GB"/>
        </w:rPr>
        <w:t>here:</w:t>
      </w:r>
      <w:r w:rsidRPr="0006117A">
        <w:rPr>
          <w:sz w:val="24"/>
          <w:szCs w:val="24"/>
          <w:lang w:val="en-GB"/>
        </w:rPr>
        <w:br/>
      </w:r>
      <w:proofErr w:type="spellStart"/>
      <w:r w:rsidRPr="0006117A">
        <w:rPr>
          <w:sz w:val="24"/>
          <w:szCs w:val="24"/>
          <w:lang w:val="en-GB"/>
        </w:rPr>
        <w:t>AddOn</w:t>
      </w:r>
      <w:r w:rsidRPr="0006117A">
        <w:rPr>
          <w:sz w:val="24"/>
          <w:szCs w:val="24"/>
          <w:vertAlign w:val="superscript"/>
          <w:lang w:val="en-GB"/>
        </w:rPr>
        <w:t>Other</w:t>
      </w:r>
      <w:proofErr w:type="spellEnd"/>
      <w:r w:rsidRPr="0006117A">
        <w:rPr>
          <w:sz w:val="24"/>
          <w:szCs w:val="24"/>
          <w:lang w:val="en-GB"/>
        </w:rPr>
        <w:t>= the other risk category</w:t>
      </w:r>
      <w:r w:rsidRPr="00B85E4D">
        <w:rPr>
          <w:sz w:val="24"/>
          <w:szCs w:val="24"/>
          <w:lang w:val="en-GB"/>
        </w:rPr>
        <w:t xml:space="preserve"> </w:t>
      </w:r>
      <w:proofErr w:type="gramStart"/>
      <w:r w:rsidRPr="00B85E4D">
        <w:rPr>
          <w:sz w:val="24"/>
          <w:szCs w:val="24"/>
          <w:lang w:val="en-GB"/>
        </w:rPr>
        <w:t>add-on</w:t>
      </w:r>
      <w:r w:rsidRPr="0006117A">
        <w:rPr>
          <w:sz w:val="24"/>
          <w:szCs w:val="24"/>
          <w:lang w:val="en-GB"/>
        </w:rPr>
        <w:t>;</w:t>
      </w:r>
      <w:proofErr w:type="gramEnd"/>
    </w:p>
    <w:p w14:paraId="673B0490" w14:textId="41695FF7" w:rsidR="0006117A" w:rsidRPr="0006117A" w:rsidRDefault="0006117A" w:rsidP="0006117A">
      <w:pPr>
        <w:spacing w:after="0"/>
        <w:ind w:firstLine="708"/>
        <w:rPr>
          <w:sz w:val="24"/>
          <w:szCs w:val="24"/>
          <w:lang w:val="en-GB"/>
        </w:rPr>
      </w:pPr>
      <w:r w:rsidRPr="0006117A">
        <w:rPr>
          <w:sz w:val="24"/>
          <w:szCs w:val="24"/>
          <w:lang w:val="en-GB"/>
        </w:rPr>
        <w:t xml:space="preserve">j = the index designating the </w:t>
      </w:r>
      <w:r w:rsidRPr="00B85E4D">
        <w:rPr>
          <w:sz w:val="24"/>
          <w:szCs w:val="24"/>
          <w:lang w:val="en-GB"/>
        </w:rPr>
        <w:t xml:space="preserve">other risk </w:t>
      </w:r>
      <w:r w:rsidRPr="0006117A">
        <w:rPr>
          <w:sz w:val="24"/>
          <w:szCs w:val="24"/>
          <w:lang w:val="en-GB"/>
        </w:rPr>
        <w:t>hedging sets established in accordance with paragraph 59 subparagraph 59.6 and paragraphs 61–64 for the netting set; and</w:t>
      </w:r>
    </w:p>
    <w:p w14:paraId="5E2B0883" w14:textId="659F25ED" w:rsidR="0006117A" w:rsidRPr="0006117A" w:rsidRDefault="0006117A" w:rsidP="0006117A">
      <w:pPr>
        <w:spacing w:after="0"/>
        <w:ind w:firstLine="708"/>
        <w:rPr>
          <w:sz w:val="24"/>
          <w:szCs w:val="24"/>
          <w:lang w:val="en-GB"/>
        </w:rPr>
      </w:pPr>
      <w:proofErr w:type="spellStart"/>
      <w:r w:rsidRPr="0006117A">
        <w:rPr>
          <w:sz w:val="24"/>
          <w:szCs w:val="24"/>
          <w:lang w:val="en-GB"/>
        </w:rPr>
        <w:t>AddOn</w:t>
      </w:r>
      <w:r w:rsidRPr="0006117A">
        <w:rPr>
          <w:sz w:val="24"/>
          <w:szCs w:val="24"/>
          <w:vertAlign w:val="subscript"/>
          <w:lang w:val="en-GB"/>
        </w:rPr>
        <w:t>j</w:t>
      </w:r>
      <w:r w:rsidRPr="0006117A">
        <w:rPr>
          <w:sz w:val="24"/>
          <w:szCs w:val="24"/>
          <w:vertAlign w:val="superscript"/>
          <w:lang w:val="en-GB"/>
        </w:rPr>
        <w:t>Other</w:t>
      </w:r>
      <w:proofErr w:type="spellEnd"/>
      <w:r w:rsidRPr="0006117A">
        <w:rPr>
          <w:sz w:val="24"/>
          <w:szCs w:val="24"/>
          <w:lang w:val="en-GB"/>
        </w:rPr>
        <w:t xml:space="preserve">= the </w:t>
      </w:r>
      <w:r w:rsidRPr="00B85E4D">
        <w:rPr>
          <w:sz w:val="24"/>
          <w:szCs w:val="24"/>
          <w:lang w:val="en-GB"/>
        </w:rPr>
        <w:t>other risk category</w:t>
      </w:r>
      <w:r w:rsidRPr="0006117A">
        <w:rPr>
          <w:sz w:val="24"/>
          <w:szCs w:val="24"/>
          <w:lang w:val="en-GB"/>
        </w:rPr>
        <w:t xml:space="preserve"> add-on for hedging set </w:t>
      </w:r>
      <w:r w:rsidRPr="0006117A">
        <w:rPr>
          <w:i/>
          <w:iCs/>
          <w:sz w:val="24"/>
          <w:szCs w:val="24"/>
          <w:lang w:val="en-GB"/>
        </w:rPr>
        <w:t>j</w:t>
      </w:r>
      <w:r w:rsidRPr="0006117A">
        <w:rPr>
          <w:sz w:val="24"/>
          <w:szCs w:val="24"/>
          <w:lang w:val="en-GB"/>
        </w:rPr>
        <w:t>, calculated in accordance with paragraph 98.</w:t>
      </w:r>
    </w:p>
    <w:p w14:paraId="33F281A0" w14:textId="73CE579E" w:rsidR="0006117A" w:rsidRPr="0006117A" w:rsidRDefault="0006117A" w:rsidP="0006117A">
      <w:pPr>
        <w:spacing w:after="0"/>
        <w:ind w:firstLine="708"/>
        <w:rPr>
          <w:sz w:val="24"/>
          <w:szCs w:val="24"/>
          <w:lang w:val="en-GB"/>
        </w:rPr>
      </w:pPr>
      <w:r w:rsidRPr="0006117A">
        <w:rPr>
          <w:b/>
          <w:bCs/>
          <w:sz w:val="24"/>
          <w:szCs w:val="24"/>
          <w:lang w:val="en-GB"/>
        </w:rPr>
        <w:lastRenderedPageBreak/>
        <w:t>98.</w:t>
      </w:r>
      <w:r w:rsidRPr="0006117A">
        <w:rPr>
          <w:sz w:val="24"/>
          <w:szCs w:val="24"/>
          <w:lang w:val="en-GB"/>
        </w:rPr>
        <w:t xml:space="preserve"> </w:t>
      </w:r>
      <w:r w:rsidRPr="00B85E4D">
        <w:rPr>
          <w:sz w:val="24"/>
          <w:szCs w:val="24"/>
          <w:lang w:val="en-GB"/>
        </w:rPr>
        <w:t xml:space="preserve">Banks </w:t>
      </w:r>
      <w:r w:rsidRPr="0006117A">
        <w:rPr>
          <w:sz w:val="24"/>
          <w:szCs w:val="24"/>
          <w:lang w:val="en-GB"/>
        </w:rPr>
        <w:t xml:space="preserve">shall calculate the add-on for the other risk category for hedging set </w:t>
      </w:r>
      <w:r w:rsidRPr="0006117A">
        <w:rPr>
          <w:i/>
          <w:iCs/>
          <w:sz w:val="24"/>
          <w:szCs w:val="24"/>
          <w:lang w:val="en-GB"/>
        </w:rPr>
        <w:t>j</w:t>
      </w:r>
      <w:r w:rsidRPr="0006117A">
        <w:rPr>
          <w:sz w:val="24"/>
          <w:szCs w:val="24"/>
          <w:lang w:val="en-GB"/>
        </w:rPr>
        <w:t xml:space="preserve"> as follows:</w:t>
      </w:r>
    </w:p>
    <w:p w14:paraId="13BB00FA" w14:textId="77777777" w:rsidR="0006117A" w:rsidRPr="00B85E4D" w:rsidRDefault="0006117A" w:rsidP="0006117A">
      <w:pPr>
        <w:spacing w:after="0"/>
        <w:rPr>
          <w:b/>
          <w:bCs/>
          <w:lang w:val="en-GB"/>
        </w:rPr>
      </w:pPr>
    </w:p>
    <w:p w14:paraId="5E008AB8" w14:textId="59C1C05B" w:rsidR="0006117A" w:rsidRPr="00B85E4D" w:rsidRDefault="0006117A" w:rsidP="0006117A">
      <w:pPr>
        <w:spacing w:after="0"/>
        <w:jc w:val="center"/>
        <w:rPr>
          <w:b/>
          <w:bCs/>
          <w:lang w:val="en-GB"/>
        </w:rPr>
      </w:pPr>
      <w:r w:rsidRPr="00B85E4D">
        <w:rPr>
          <w:b/>
          <w:bCs/>
          <w:noProof/>
          <w:lang w:val="en-GB"/>
        </w:rPr>
        <w:drawing>
          <wp:inline distT="0" distB="0" distL="0" distR="0" wp14:anchorId="78FD504D" wp14:editId="28FE93BC">
            <wp:extent cx="4448796" cy="581106"/>
            <wp:effectExtent l="0" t="0" r="9525" b="9525"/>
            <wp:docPr id="57702204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22043" name=""/>
                    <pic:cNvPicPr/>
                  </pic:nvPicPr>
                  <pic:blipFill>
                    <a:blip r:embed="rId39"/>
                    <a:stretch>
                      <a:fillRect/>
                    </a:stretch>
                  </pic:blipFill>
                  <pic:spPr>
                    <a:xfrm>
                      <a:off x="0" y="0"/>
                      <a:ext cx="4448796" cy="581106"/>
                    </a:xfrm>
                    <a:prstGeom prst="rect">
                      <a:avLst/>
                    </a:prstGeom>
                  </pic:spPr>
                </pic:pic>
              </a:graphicData>
            </a:graphic>
          </wp:inline>
        </w:drawing>
      </w:r>
    </w:p>
    <w:p w14:paraId="3F2AFAFD" w14:textId="77777777" w:rsidR="0006117A" w:rsidRPr="00B85E4D" w:rsidRDefault="0006117A" w:rsidP="0006117A">
      <w:pPr>
        <w:spacing w:after="0"/>
        <w:ind w:firstLine="708"/>
        <w:rPr>
          <w:sz w:val="24"/>
          <w:szCs w:val="24"/>
          <w:lang w:val="en-GB"/>
        </w:rPr>
      </w:pPr>
      <w:r w:rsidRPr="00B85E4D">
        <w:rPr>
          <w:sz w:val="24"/>
          <w:szCs w:val="24"/>
          <w:lang w:val="en-GB"/>
        </w:rPr>
        <w:t xml:space="preserve">where: </w:t>
      </w:r>
    </w:p>
    <w:p w14:paraId="00B109BC" w14:textId="77777777" w:rsidR="0006117A" w:rsidRPr="00B85E4D" w:rsidRDefault="0006117A" w:rsidP="0006117A">
      <w:pPr>
        <w:spacing w:after="0"/>
        <w:ind w:firstLine="708"/>
        <w:rPr>
          <w:sz w:val="24"/>
          <w:szCs w:val="24"/>
          <w:lang w:val="en-GB"/>
        </w:rPr>
      </w:pPr>
      <w:proofErr w:type="spellStart"/>
      <w:r w:rsidRPr="00B85E4D">
        <w:rPr>
          <w:sz w:val="24"/>
          <w:szCs w:val="24"/>
          <w:lang w:val="en-GB"/>
        </w:rPr>
        <w:t>AddOn</w:t>
      </w:r>
      <w:r w:rsidRPr="00B85E4D">
        <w:rPr>
          <w:sz w:val="24"/>
          <w:szCs w:val="24"/>
          <w:vertAlign w:val="subscript"/>
          <w:lang w:val="en-GB"/>
        </w:rPr>
        <w:t>j</w:t>
      </w:r>
      <w:r w:rsidRPr="00B85E4D">
        <w:rPr>
          <w:sz w:val="24"/>
          <w:szCs w:val="24"/>
          <w:vertAlign w:val="superscript"/>
          <w:lang w:val="en-GB"/>
        </w:rPr>
        <w:t>Other</w:t>
      </w:r>
      <w:proofErr w:type="spellEnd"/>
      <w:r w:rsidRPr="00B85E4D">
        <w:rPr>
          <w:sz w:val="24"/>
          <w:szCs w:val="24"/>
          <w:lang w:val="en-GB"/>
        </w:rPr>
        <w:t xml:space="preserve"> = the other risks category add-on for hedging set </w:t>
      </w:r>
      <w:proofErr w:type="gramStart"/>
      <w:r w:rsidRPr="00B85E4D">
        <w:rPr>
          <w:sz w:val="24"/>
          <w:szCs w:val="24"/>
          <w:lang w:val="en-GB"/>
        </w:rPr>
        <w:t>j;</w:t>
      </w:r>
      <w:proofErr w:type="gramEnd"/>
      <w:r w:rsidRPr="00B85E4D">
        <w:rPr>
          <w:sz w:val="24"/>
          <w:szCs w:val="24"/>
          <w:lang w:val="en-GB"/>
        </w:rPr>
        <w:t xml:space="preserve"> </w:t>
      </w:r>
    </w:p>
    <w:p w14:paraId="7E0DA542" w14:textId="3B4F7845" w:rsidR="0006117A" w:rsidRPr="00B85E4D" w:rsidRDefault="0006117A" w:rsidP="0006117A">
      <w:pPr>
        <w:spacing w:after="0"/>
        <w:ind w:firstLine="708"/>
        <w:rPr>
          <w:sz w:val="24"/>
          <w:szCs w:val="24"/>
          <w:lang w:val="en-GB"/>
        </w:rPr>
      </w:pPr>
      <w:proofErr w:type="spellStart"/>
      <w:r w:rsidRPr="00B85E4D">
        <w:rPr>
          <w:sz w:val="24"/>
          <w:szCs w:val="24"/>
          <w:lang w:val="en-GB"/>
        </w:rPr>
        <w:t>єj</w:t>
      </w:r>
      <w:proofErr w:type="spellEnd"/>
      <w:r w:rsidRPr="00B85E4D">
        <w:rPr>
          <w:sz w:val="24"/>
          <w:szCs w:val="24"/>
          <w:lang w:val="en-GB"/>
        </w:rPr>
        <w:t xml:space="preserve"> = the hedging set factor coefficient established by National Bank of Moldova of hedging set </w:t>
      </w:r>
      <w:r w:rsidRPr="00B85E4D">
        <w:rPr>
          <w:i/>
          <w:iCs/>
          <w:sz w:val="24"/>
          <w:szCs w:val="24"/>
          <w:lang w:val="en-GB"/>
        </w:rPr>
        <w:t>j</w:t>
      </w:r>
      <w:r w:rsidRPr="00B85E4D">
        <w:rPr>
          <w:sz w:val="24"/>
          <w:szCs w:val="24"/>
          <w:lang w:val="en-GB"/>
        </w:rPr>
        <w:t xml:space="preserve"> determined in accordance with Article 280; and </w:t>
      </w:r>
    </w:p>
    <w:p w14:paraId="7C8F40E8" w14:textId="459F8327" w:rsidR="0006117A" w:rsidRPr="00B85E4D" w:rsidRDefault="0006117A" w:rsidP="0006117A">
      <w:pPr>
        <w:spacing w:after="0"/>
        <w:ind w:firstLine="708"/>
        <w:rPr>
          <w:sz w:val="24"/>
          <w:szCs w:val="24"/>
          <w:lang w:val="en-GB"/>
        </w:rPr>
      </w:pPr>
      <w:proofErr w:type="spellStart"/>
      <w:r w:rsidRPr="00B85E4D">
        <w:rPr>
          <w:sz w:val="24"/>
          <w:szCs w:val="24"/>
          <w:lang w:val="en-GB"/>
        </w:rPr>
        <w:t>SF</w:t>
      </w:r>
      <w:r w:rsidRPr="00B85E4D">
        <w:rPr>
          <w:sz w:val="24"/>
          <w:szCs w:val="24"/>
          <w:vertAlign w:val="superscript"/>
          <w:lang w:val="en-GB"/>
        </w:rPr>
        <w:t>Other</w:t>
      </w:r>
      <w:proofErr w:type="spellEnd"/>
      <w:r w:rsidRPr="00B85E4D">
        <w:rPr>
          <w:sz w:val="24"/>
          <w:szCs w:val="24"/>
          <w:vertAlign w:val="superscript"/>
          <w:lang w:val="en-GB"/>
        </w:rPr>
        <w:t xml:space="preserve"> </w:t>
      </w:r>
      <w:r w:rsidRPr="00B85E4D">
        <w:rPr>
          <w:sz w:val="24"/>
          <w:szCs w:val="24"/>
          <w:lang w:val="en-GB"/>
        </w:rPr>
        <w:t xml:space="preserve">= the factor established by National Bank of Moldova for the other risk category with a value equal to </w:t>
      </w:r>
      <w:proofErr w:type="gramStart"/>
      <w:r w:rsidRPr="00B85E4D">
        <w:rPr>
          <w:sz w:val="24"/>
          <w:szCs w:val="24"/>
          <w:lang w:val="en-GB"/>
        </w:rPr>
        <w:t>8 %;</w:t>
      </w:r>
      <w:proofErr w:type="gramEnd"/>
      <w:r w:rsidRPr="00B85E4D">
        <w:rPr>
          <w:sz w:val="24"/>
          <w:szCs w:val="24"/>
          <w:lang w:val="en-GB"/>
        </w:rPr>
        <w:t xml:space="preserve"> </w:t>
      </w:r>
    </w:p>
    <w:p w14:paraId="5E985ABC" w14:textId="5DAD446F" w:rsidR="0006117A" w:rsidRPr="00B85E4D" w:rsidRDefault="0006117A" w:rsidP="0006117A">
      <w:pPr>
        <w:spacing w:after="0"/>
        <w:ind w:firstLine="708"/>
        <w:rPr>
          <w:sz w:val="24"/>
          <w:szCs w:val="24"/>
          <w:lang w:val="en-GB"/>
        </w:rPr>
      </w:pPr>
      <w:proofErr w:type="spellStart"/>
      <w:proofErr w:type="gramStart"/>
      <w:r w:rsidRPr="00B85E4D">
        <w:rPr>
          <w:sz w:val="24"/>
          <w:szCs w:val="24"/>
          <w:lang w:val="en-GB"/>
        </w:rPr>
        <w:t>EffNot</w:t>
      </w:r>
      <w:r w:rsidRPr="00B85E4D">
        <w:rPr>
          <w:sz w:val="24"/>
          <w:szCs w:val="24"/>
          <w:vertAlign w:val="subscript"/>
          <w:lang w:val="en-GB"/>
        </w:rPr>
        <w:t>j</w:t>
      </w:r>
      <w:r w:rsidRPr="00B85E4D">
        <w:rPr>
          <w:sz w:val="24"/>
          <w:szCs w:val="24"/>
          <w:vertAlign w:val="superscript"/>
          <w:lang w:val="en-GB"/>
        </w:rPr>
        <w:t>Other</w:t>
      </w:r>
      <w:proofErr w:type="spellEnd"/>
      <w:r w:rsidRPr="00B85E4D">
        <w:rPr>
          <w:sz w:val="24"/>
          <w:szCs w:val="24"/>
          <w:lang w:val="en-GB"/>
        </w:rPr>
        <w:t xml:space="preserve">  =</w:t>
      </w:r>
      <w:proofErr w:type="gramEnd"/>
      <w:r w:rsidRPr="00B85E4D">
        <w:rPr>
          <w:sz w:val="24"/>
          <w:szCs w:val="24"/>
          <w:lang w:val="en-GB"/>
        </w:rPr>
        <w:t xml:space="preserve"> the effective notional amount of hedging set j calculated as follows:</w:t>
      </w:r>
    </w:p>
    <w:p w14:paraId="4CFE46C4" w14:textId="06CB0EA8" w:rsidR="0006117A" w:rsidRPr="00B85E4D" w:rsidRDefault="0006117A" w:rsidP="0006117A">
      <w:pPr>
        <w:spacing w:after="0"/>
        <w:ind w:firstLine="708"/>
        <w:rPr>
          <w:sz w:val="24"/>
          <w:szCs w:val="24"/>
          <w:lang w:val="en-GB"/>
        </w:rPr>
      </w:pPr>
      <w:r w:rsidRPr="00B85E4D">
        <w:rPr>
          <w:noProof/>
          <w:sz w:val="24"/>
          <w:szCs w:val="24"/>
          <w:lang w:val="en-GB"/>
        </w:rPr>
        <w:drawing>
          <wp:inline distT="0" distB="0" distL="0" distR="0" wp14:anchorId="36FDF828" wp14:editId="4825E80E">
            <wp:extent cx="4734586" cy="933580"/>
            <wp:effectExtent l="0" t="0" r="8890" b="0"/>
            <wp:docPr id="57347068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70681" name=""/>
                    <pic:cNvPicPr/>
                  </pic:nvPicPr>
                  <pic:blipFill>
                    <a:blip r:embed="rId40"/>
                    <a:stretch>
                      <a:fillRect/>
                    </a:stretch>
                  </pic:blipFill>
                  <pic:spPr>
                    <a:xfrm>
                      <a:off x="0" y="0"/>
                      <a:ext cx="4734586" cy="933580"/>
                    </a:xfrm>
                    <a:prstGeom prst="rect">
                      <a:avLst/>
                    </a:prstGeom>
                  </pic:spPr>
                </pic:pic>
              </a:graphicData>
            </a:graphic>
          </wp:inline>
        </w:drawing>
      </w:r>
    </w:p>
    <w:p w14:paraId="2D85BBAF" w14:textId="77777777" w:rsidR="0006117A" w:rsidRPr="00B85E4D" w:rsidRDefault="0006117A" w:rsidP="0006117A">
      <w:pPr>
        <w:spacing w:after="0"/>
        <w:ind w:firstLine="708"/>
        <w:rPr>
          <w:sz w:val="24"/>
          <w:szCs w:val="24"/>
          <w:lang w:val="en-GB"/>
        </w:rPr>
      </w:pPr>
      <w:r w:rsidRPr="00B85E4D">
        <w:rPr>
          <w:sz w:val="24"/>
          <w:szCs w:val="24"/>
          <w:lang w:val="en-GB"/>
        </w:rPr>
        <w:t xml:space="preserve">where: </w:t>
      </w:r>
    </w:p>
    <w:p w14:paraId="3BD05337" w14:textId="2A878F00" w:rsidR="0006117A" w:rsidRPr="00B85E4D" w:rsidRDefault="0006117A" w:rsidP="0006117A">
      <w:pPr>
        <w:spacing w:after="0"/>
        <w:ind w:firstLine="708"/>
        <w:rPr>
          <w:sz w:val="24"/>
          <w:szCs w:val="24"/>
          <w:lang w:val="en-GB"/>
        </w:rPr>
      </w:pPr>
      <w:r w:rsidRPr="00B85E4D">
        <w:rPr>
          <w:sz w:val="24"/>
          <w:szCs w:val="24"/>
          <w:lang w:val="en-GB"/>
        </w:rPr>
        <w:t>l = the index that denotes the risk position.</w:t>
      </w:r>
    </w:p>
    <w:p w14:paraId="3E8963B9" w14:textId="77777777" w:rsidR="0006117A" w:rsidRPr="00B85E4D" w:rsidRDefault="0006117A" w:rsidP="0006117A">
      <w:pPr>
        <w:spacing w:after="0"/>
        <w:ind w:firstLine="708"/>
        <w:rPr>
          <w:sz w:val="24"/>
          <w:szCs w:val="24"/>
          <w:lang w:val="en-GB"/>
        </w:rPr>
      </w:pPr>
    </w:p>
    <w:p w14:paraId="5B458446" w14:textId="5F194F0E" w:rsidR="001B218D" w:rsidRPr="001B218D" w:rsidRDefault="001B218D" w:rsidP="001B218D">
      <w:pPr>
        <w:spacing w:before="100" w:beforeAutospacing="1" w:after="100" w:afterAutospacing="1"/>
        <w:jc w:val="center"/>
        <w:rPr>
          <w:rFonts w:eastAsia="Times New Roman" w:cs="Times New Roman"/>
          <w:sz w:val="24"/>
          <w:szCs w:val="24"/>
          <w:lang w:val="en-GB" w:eastAsia="ro-RO"/>
        </w:rPr>
      </w:pPr>
      <w:r w:rsidRPr="001B218D">
        <w:rPr>
          <w:rFonts w:eastAsia="Times New Roman" w:cs="Times New Roman"/>
          <w:b/>
          <w:bCs/>
          <w:sz w:val="24"/>
          <w:szCs w:val="24"/>
          <w:lang w:val="en-GB" w:eastAsia="ro-RO"/>
        </w:rPr>
        <w:t>Chapter IV</w:t>
      </w:r>
      <w:r w:rsidRPr="001B218D">
        <w:rPr>
          <w:rFonts w:eastAsia="Times New Roman" w:cs="Times New Roman"/>
          <w:sz w:val="24"/>
          <w:szCs w:val="24"/>
          <w:lang w:val="en-GB" w:eastAsia="ro-RO"/>
        </w:rPr>
        <w:br/>
      </w:r>
      <w:r w:rsidRPr="001B218D">
        <w:rPr>
          <w:rFonts w:eastAsia="Times New Roman" w:cs="Times New Roman"/>
          <w:b/>
          <w:bCs/>
          <w:sz w:val="24"/>
          <w:szCs w:val="24"/>
          <w:lang w:val="en-GB" w:eastAsia="ro-RO"/>
        </w:rPr>
        <w:t xml:space="preserve">Simplified </w:t>
      </w:r>
      <w:r w:rsidRPr="00B85E4D">
        <w:rPr>
          <w:rFonts w:eastAsia="Times New Roman" w:cs="Times New Roman"/>
          <w:b/>
          <w:bCs/>
          <w:sz w:val="24"/>
          <w:szCs w:val="24"/>
          <w:lang w:val="en-GB" w:eastAsia="ro-RO"/>
        </w:rPr>
        <w:t>s</w:t>
      </w:r>
      <w:r w:rsidRPr="001B218D">
        <w:rPr>
          <w:rFonts w:eastAsia="Times New Roman" w:cs="Times New Roman"/>
          <w:b/>
          <w:bCs/>
          <w:sz w:val="24"/>
          <w:szCs w:val="24"/>
          <w:lang w:val="en-GB" w:eastAsia="ro-RO"/>
        </w:rPr>
        <w:t xml:space="preserve">tandardised </w:t>
      </w:r>
      <w:r w:rsidRPr="00B85E4D">
        <w:rPr>
          <w:rFonts w:eastAsia="Times New Roman" w:cs="Times New Roman"/>
          <w:b/>
          <w:bCs/>
          <w:sz w:val="24"/>
          <w:szCs w:val="24"/>
          <w:lang w:val="en-GB" w:eastAsia="ro-RO"/>
        </w:rPr>
        <w:t>a</w:t>
      </w:r>
      <w:r w:rsidRPr="001B218D">
        <w:rPr>
          <w:rFonts w:eastAsia="Times New Roman" w:cs="Times New Roman"/>
          <w:b/>
          <w:bCs/>
          <w:sz w:val="24"/>
          <w:szCs w:val="24"/>
          <w:lang w:val="en-GB" w:eastAsia="ro-RO"/>
        </w:rPr>
        <w:t xml:space="preserve">pproach for </w:t>
      </w:r>
      <w:r w:rsidRPr="00B85E4D">
        <w:rPr>
          <w:rFonts w:eastAsia="Times New Roman" w:cs="Times New Roman"/>
          <w:b/>
          <w:bCs/>
          <w:sz w:val="24"/>
          <w:szCs w:val="24"/>
          <w:lang w:val="en-GB" w:eastAsia="ro-RO"/>
        </w:rPr>
        <w:t>c</w:t>
      </w:r>
      <w:r w:rsidRPr="001B218D">
        <w:rPr>
          <w:rFonts w:eastAsia="Times New Roman" w:cs="Times New Roman"/>
          <w:b/>
          <w:bCs/>
          <w:sz w:val="24"/>
          <w:szCs w:val="24"/>
          <w:lang w:val="en-GB" w:eastAsia="ro-RO"/>
        </w:rPr>
        <w:t xml:space="preserve">ounterparty </w:t>
      </w:r>
      <w:r w:rsidRPr="00B85E4D">
        <w:rPr>
          <w:rFonts w:eastAsia="Times New Roman" w:cs="Times New Roman"/>
          <w:b/>
          <w:bCs/>
          <w:sz w:val="24"/>
          <w:szCs w:val="24"/>
          <w:lang w:val="en-GB" w:eastAsia="ro-RO"/>
        </w:rPr>
        <w:t>c</w:t>
      </w:r>
      <w:r w:rsidRPr="001B218D">
        <w:rPr>
          <w:rFonts w:eastAsia="Times New Roman" w:cs="Times New Roman"/>
          <w:b/>
          <w:bCs/>
          <w:sz w:val="24"/>
          <w:szCs w:val="24"/>
          <w:lang w:val="en-GB" w:eastAsia="ro-RO"/>
        </w:rPr>
        <w:t xml:space="preserve">redit </w:t>
      </w:r>
      <w:r w:rsidRPr="00B85E4D">
        <w:rPr>
          <w:rFonts w:eastAsia="Times New Roman" w:cs="Times New Roman"/>
          <w:b/>
          <w:bCs/>
          <w:sz w:val="24"/>
          <w:szCs w:val="24"/>
          <w:lang w:val="en-GB" w:eastAsia="ro-RO"/>
        </w:rPr>
        <w:t>r</w:t>
      </w:r>
      <w:r w:rsidRPr="001B218D">
        <w:rPr>
          <w:rFonts w:eastAsia="Times New Roman" w:cs="Times New Roman"/>
          <w:b/>
          <w:bCs/>
          <w:sz w:val="24"/>
          <w:szCs w:val="24"/>
          <w:lang w:val="en-GB" w:eastAsia="ro-RO"/>
        </w:rPr>
        <w:t>isk</w:t>
      </w:r>
    </w:p>
    <w:p w14:paraId="14F06067" w14:textId="6247DB70" w:rsidR="001B218D" w:rsidRPr="001B218D" w:rsidRDefault="001B218D" w:rsidP="001B218D">
      <w:pPr>
        <w:spacing w:before="100" w:beforeAutospacing="1" w:after="100" w:afterAutospacing="1"/>
        <w:ind w:firstLine="708"/>
        <w:rPr>
          <w:rFonts w:eastAsia="Times New Roman" w:cs="Times New Roman"/>
          <w:sz w:val="24"/>
          <w:szCs w:val="24"/>
          <w:lang w:val="en-GB" w:eastAsia="ro-RO"/>
        </w:rPr>
      </w:pPr>
      <w:r w:rsidRPr="001B218D">
        <w:rPr>
          <w:rFonts w:eastAsia="Times New Roman" w:cs="Times New Roman"/>
          <w:b/>
          <w:bCs/>
          <w:sz w:val="24"/>
          <w:szCs w:val="24"/>
          <w:lang w:val="en-GB" w:eastAsia="ro-RO"/>
        </w:rPr>
        <w:t>99.</w:t>
      </w:r>
      <w:r w:rsidRPr="001B218D">
        <w:rPr>
          <w:rFonts w:eastAsia="Times New Roman" w:cs="Times New Roman"/>
          <w:sz w:val="24"/>
          <w:szCs w:val="24"/>
          <w:lang w:val="en-GB" w:eastAsia="ro-RO"/>
        </w:rPr>
        <w:t xml:space="preserve"> </w:t>
      </w:r>
      <w:r w:rsidRPr="00B85E4D">
        <w:rPr>
          <w:rFonts w:eastAsia="Times New Roman" w:cs="Times New Roman"/>
          <w:sz w:val="24"/>
          <w:szCs w:val="24"/>
          <w:lang w:val="en-GB" w:eastAsia="ro-RO"/>
        </w:rPr>
        <w:t>Banks</w:t>
      </w:r>
      <w:r w:rsidRPr="001B218D">
        <w:rPr>
          <w:rFonts w:eastAsia="Times New Roman" w:cs="Times New Roman"/>
          <w:sz w:val="24"/>
          <w:szCs w:val="24"/>
          <w:lang w:val="en-GB" w:eastAsia="ro-RO"/>
        </w:rPr>
        <w:t xml:space="preserve"> shall calculate a single exposure value at the level of a netting </w:t>
      </w:r>
      <w:proofErr w:type="gramStart"/>
      <w:r w:rsidRPr="001B218D">
        <w:rPr>
          <w:rFonts w:eastAsia="Times New Roman" w:cs="Times New Roman"/>
          <w:sz w:val="24"/>
          <w:szCs w:val="24"/>
          <w:lang w:val="en-GB" w:eastAsia="ro-RO"/>
        </w:rPr>
        <w:t>set in</w:t>
      </w:r>
      <w:proofErr w:type="gramEnd"/>
      <w:r w:rsidRPr="001B218D">
        <w:rPr>
          <w:rFonts w:eastAsia="Times New Roman" w:cs="Times New Roman"/>
          <w:sz w:val="24"/>
          <w:szCs w:val="24"/>
          <w:lang w:val="en-GB" w:eastAsia="ro-RO"/>
        </w:rPr>
        <w:t xml:space="preserve"> accordance with Chapter III, subject to paragraph 100.</w:t>
      </w:r>
    </w:p>
    <w:p w14:paraId="64AF0344" w14:textId="77777777" w:rsidR="001B218D" w:rsidRPr="001B218D" w:rsidRDefault="001B218D" w:rsidP="001B218D">
      <w:pPr>
        <w:spacing w:before="100" w:beforeAutospacing="1" w:after="100" w:afterAutospacing="1"/>
        <w:ind w:firstLine="708"/>
        <w:rPr>
          <w:rFonts w:eastAsia="Times New Roman" w:cs="Times New Roman"/>
          <w:sz w:val="24"/>
          <w:szCs w:val="24"/>
          <w:lang w:val="en-GB" w:eastAsia="ro-RO"/>
        </w:rPr>
      </w:pPr>
      <w:r w:rsidRPr="001B218D">
        <w:rPr>
          <w:rFonts w:eastAsia="Times New Roman" w:cs="Times New Roman"/>
          <w:b/>
          <w:bCs/>
          <w:sz w:val="24"/>
          <w:szCs w:val="24"/>
          <w:lang w:val="en-GB" w:eastAsia="ro-RO"/>
        </w:rPr>
        <w:t>100.</w:t>
      </w:r>
      <w:r w:rsidRPr="001B218D">
        <w:rPr>
          <w:rFonts w:eastAsia="Times New Roman" w:cs="Times New Roman"/>
          <w:sz w:val="24"/>
          <w:szCs w:val="24"/>
          <w:lang w:val="en-GB" w:eastAsia="ro-RO"/>
        </w:rPr>
        <w:t xml:space="preserve"> The exposure value of a netting set shall be calculated in accordance with the following requirements:</w:t>
      </w:r>
    </w:p>
    <w:p w14:paraId="291D3C38" w14:textId="6A14835A" w:rsidR="001B218D" w:rsidRPr="001B218D" w:rsidRDefault="001B218D" w:rsidP="001B218D">
      <w:pPr>
        <w:spacing w:before="100" w:beforeAutospacing="1" w:after="100" w:afterAutospacing="1"/>
        <w:ind w:firstLine="708"/>
        <w:rPr>
          <w:rFonts w:eastAsia="Times New Roman" w:cs="Times New Roman"/>
          <w:sz w:val="24"/>
          <w:szCs w:val="24"/>
          <w:lang w:val="en-GB" w:eastAsia="ro-RO"/>
        </w:rPr>
      </w:pPr>
      <w:r w:rsidRPr="001B218D">
        <w:rPr>
          <w:rFonts w:eastAsia="Times New Roman" w:cs="Times New Roman"/>
          <w:sz w:val="24"/>
          <w:szCs w:val="24"/>
          <w:lang w:val="en-GB" w:eastAsia="ro-RO"/>
        </w:rPr>
        <w:t xml:space="preserve">100.1. </w:t>
      </w:r>
      <w:r w:rsidR="006E0789" w:rsidRPr="00B85E4D">
        <w:rPr>
          <w:rFonts w:eastAsia="Times New Roman" w:cs="Times New Roman"/>
          <w:sz w:val="24"/>
          <w:szCs w:val="24"/>
          <w:lang w:val="en-GB" w:eastAsia="ro-RO"/>
        </w:rPr>
        <w:t>Banks</w:t>
      </w:r>
      <w:r w:rsidRPr="001B218D">
        <w:rPr>
          <w:rFonts w:eastAsia="Times New Roman" w:cs="Times New Roman"/>
          <w:sz w:val="24"/>
          <w:szCs w:val="24"/>
          <w:lang w:val="en-GB" w:eastAsia="ro-RO"/>
        </w:rPr>
        <w:t xml:space="preserve"> shall not apply the treatment referred to in paragraphs 45–</w:t>
      </w:r>
      <w:proofErr w:type="gramStart"/>
      <w:r w:rsidRPr="001B218D">
        <w:rPr>
          <w:rFonts w:eastAsia="Times New Roman" w:cs="Times New Roman"/>
          <w:sz w:val="24"/>
          <w:szCs w:val="24"/>
          <w:lang w:val="en-GB" w:eastAsia="ro-RO"/>
        </w:rPr>
        <w:t>47;</w:t>
      </w:r>
      <w:proofErr w:type="gramEnd"/>
    </w:p>
    <w:p w14:paraId="619BF520" w14:textId="4F3A1C53" w:rsidR="001B218D" w:rsidRPr="00B85E4D" w:rsidRDefault="001B218D" w:rsidP="001B218D">
      <w:pPr>
        <w:spacing w:before="100" w:beforeAutospacing="1" w:after="100" w:afterAutospacing="1"/>
        <w:ind w:firstLine="708"/>
        <w:rPr>
          <w:rFonts w:eastAsia="Times New Roman" w:cs="Times New Roman"/>
          <w:sz w:val="24"/>
          <w:szCs w:val="24"/>
          <w:lang w:val="en-GB" w:eastAsia="ro-RO"/>
        </w:rPr>
      </w:pPr>
      <w:r w:rsidRPr="001B218D">
        <w:rPr>
          <w:rFonts w:eastAsia="Times New Roman" w:cs="Times New Roman"/>
          <w:sz w:val="24"/>
          <w:szCs w:val="24"/>
          <w:lang w:val="en-GB" w:eastAsia="ro-RO"/>
        </w:rPr>
        <w:t xml:space="preserve">100.2. By way of derogation from paragraph 49, for netting sets not referred to in paragraph 50, </w:t>
      </w:r>
      <w:r w:rsidR="00865CE4" w:rsidRPr="00B85E4D">
        <w:rPr>
          <w:rFonts w:eastAsia="Times New Roman" w:cs="Times New Roman"/>
          <w:sz w:val="24"/>
          <w:szCs w:val="24"/>
          <w:lang w:val="en-GB" w:eastAsia="ro-RO"/>
        </w:rPr>
        <w:t>bank</w:t>
      </w:r>
      <w:r w:rsidRPr="001B218D">
        <w:rPr>
          <w:rFonts w:eastAsia="Times New Roman" w:cs="Times New Roman"/>
          <w:sz w:val="24"/>
          <w:szCs w:val="24"/>
          <w:lang w:val="en-GB" w:eastAsia="ro-RO"/>
        </w:rPr>
        <w:t>s shall calculate the replacement cost in accordance with the following formula:</w:t>
      </w:r>
    </w:p>
    <w:p w14:paraId="7F3484EE" w14:textId="77777777" w:rsidR="001B218D" w:rsidRPr="00B85E4D" w:rsidRDefault="001B218D" w:rsidP="001B218D">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 xml:space="preserve">RC = </w:t>
      </w:r>
      <w:proofErr w:type="gramStart"/>
      <w:r w:rsidRPr="00B85E4D">
        <w:rPr>
          <w:rFonts w:eastAsia="Times New Roman" w:cs="Times New Roman"/>
          <w:sz w:val="24"/>
          <w:szCs w:val="24"/>
          <w:lang w:val="en-GB" w:eastAsia="ro-MD"/>
        </w:rPr>
        <w:t>max{</w:t>
      </w:r>
      <w:proofErr w:type="gramEnd"/>
      <w:r w:rsidRPr="00B85E4D">
        <w:rPr>
          <w:rFonts w:eastAsia="Times New Roman" w:cs="Times New Roman"/>
          <w:sz w:val="24"/>
          <w:szCs w:val="24"/>
          <w:lang w:val="en-GB" w:eastAsia="ro-MD"/>
        </w:rPr>
        <w:t>CMV, 0}</w:t>
      </w:r>
    </w:p>
    <w:p w14:paraId="3916C902" w14:textId="77777777" w:rsidR="001B218D" w:rsidRPr="00B85E4D" w:rsidRDefault="001B218D" w:rsidP="001B218D">
      <w:pPr>
        <w:spacing w:after="0"/>
        <w:ind w:firstLine="709"/>
        <w:rPr>
          <w:rFonts w:eastAsia="Times New Roman" w:cs="Times New Roman"/>
          <w:sz w:val="24"/>
          <w:szCs w:val="24"/>
          <w:lang w:val="en-GB" w:eastAsia="ro-RO"/>
        </w:rPr>
      </w:pPr>
      <w:r w:rsidRPr="00B85E4D">
        <w:rPr>
          <w:rFonts w:eastAsia="Times New Roman" w:cs="Times New Roman"/>
          <w:sz w:val="24"/>
          <w:szCs w:val="24"/>
          <w:lang w:val="en-GB" w:eastAsia="ro-RO"/>
        </w:rPr>
        <w:t xml:space="preserve">where: </w:t>
      </w:r>
    </w:p>
    <w:p w14:paraId="7C46C8D5" w14:textId="77777777" w:rsidR="001B218D" w:rsidRPr="00B85E4D" w:rsidRDefault="001B218D" w:rsidP="001B218D">
      <w:pPr>
        <w:spacing w:after="0"/>
        <w:ind w:firstLine="709"/>
        <w:rPr>
          <w:rFonts w:eastAsia="Times New Roman" w:cs="Times New Roman"/>
          <w:sz w:val="24"/>
          <w:szCs w:val="24"/>
          <w:lang w:val="en-GB" w:eastAsia="ro-RO"/>
        </w:rPr>
      </w:pPr>
      <w:r w:rsidRPr="00B85E4D">
        <w:rPr>
          <w:rFonts w:eastAsia="Times New Roman" w:cs="Times New Roman"/>
          <w:sz w:val="24"/>
          <w:szCs w:val="24"/>
          <w:lang w:val="en-GB" w:eastAsia="ro-RO"/>
        </w:rPr>
        <w:t xml:space="preserve">RC = the replacement cost; and </w:t>
      </w:r>
    </w:p>
    <w:p w14:paraId="1EAAF0C6" w14:textId="77777777" w:rsidR="001B218D" w:rsidRPr="00B85E4D" w:rsidRDefault="001B218D" w:rsidP="001B218D">
      <w:pPr>
        <w:spacing w:after="0"/>
        <w:ind w:firstLine="709"/>
        <w:rPr>
          <w:rFonts w:eastAsia="Times New Roman" w:cs="Times New Roman"/>
          <w:sz w:val="24"/>
          <w:szCs w:val="24"/>
          <w:lang w:val="en-GB" w:eastAsia="ro-RO"/>
        </w:rPr>
      </w:pPr>
      <w:r w:rsidRPr="00B85E4D">
        <w:rPr>
          <w:rFonts w:eastAsia="Times New Roman" w:cs="Times New Roman"/>
          <w:sz w:val="24"/>
          <w:szCs w:val="24"/>
          <w:lang w:val="en-GB" w:eastAsia="ro-RO"/>
        </w:rPr>
        <w:t xml:space="preserve">CMV = the current market value. </w:t>
      </w:r>
    </w:p>
    <w:p w14:paraId="2D0DA30A" w14:textId="47976B51" w:rsidR="001B218D" w:rsidRPr="001B218D" w:rsidRDefault="001B218D" w:rsidP="001B218D">
      <w:pPr>
        <w:spacing w:after="0"/>
        <w:ind w:firstLine="709"/>
        <w:rPr>
          <w:rFonts w:eastAsia="Times New Roman" w:cs="Times New Roman"/>
          <w:sz w:val="24"/>
          <w:szCs w:val="24"/>
          <w:lang w:val="en-GB" w:eastAsia="ro-RO"/>
        </w:rPr>
      </w:pPr>
      <w:r w:rsidRPr="00B85E4D">
        <w:rPr>
          <w:rFonts w:eastAsia="Times New Roman" w:cs="Times New Roman"/>
          <w:sz w:val="24"/>
          <w:szCs w:val="24"/>
          <w:lang w:val="en-GB" w:eastAsia="ro-RO"/>
        </w:rPr>
        <w:t xml:space="preserve">100.3. by way of derogation from paragraph 50 of this Regulation, for netting sets of transactions: that are traded on a recognised exchange; that are centrally cleared by a central counterparty authorised </w:t>
      </w:r>
      <w:r w:rsidRPr="00B85E4D">
        <w:rPr>
          <w:sz w:val="24"/>
          <w:szCs w:val="24"/>
          <w:lang w:val="en-GB"/>
        </w:rPr>
        <w:t>in the European Union or recognised in a third country</w:t>
      </w:r>
      <w:r w:rsidRPr="00B85E4D">
        <w:rPr>
          <w:rFonts w:eastAsia="Times New Roman" w:cs="Times New Roman"/>
          <w:sz w:val="24"/>
          <w:szCs w:val="24"/>
          <w:lang w:val="en-GB" w:eastAsia="ro-RO"/>
        </w:rPr>
        <w:t>; or for which collateral is exchanged bilaterally with the counterparty take places, banks shall calculate the replacement cost in accordance with the following formula:</w:t>
      </w:r>
    </w:p>
    <w:p w14:paraId="61687870" w14:textId="77777777" w:rsidR="001B218D" w:rsidRPr="00B85E4D" w:rsidRDefault="001B218D" w:rsidP="001B218D">
      <w:pPr>
        <w:spacing w:after="0"/>
        <w:jc w:val="both"/>
        <w:rPr>
          <w:sz w:val="24"/>
          <w:szCs w:val="24"/>
          <w:lang w:val="en-GB"/>
        </w:rPr>
      </w:pPr>
    </w:p>
    <w:p w14:paraId="2BA6C602" w14:textId="77777777" w:rsidR="001B218D" w:rsidRPr="00B85E4D" w:rsidRDefault="001B218D" w:rsidP="001B218D">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RC = TH + MTA</w:t>
      </w:r>
    </w:p>
    <w:p w14:paraId="29D6B625" w14:textId="77777777" w:rsidR="001B218D" w:rsidRPr="00B85E4D" w:rsidRDefault="001B218D" w:rsidP="001B218D">
      <w:pPr>
        <w:spacing w:after="0"/>
        <w:jc w:val="both"/>
        <w:rPr>
          <w:sz w:val="24"/>
          <w:szCs w:val="24"/>
          <w:lang w:val="en-GB"/>
        </w:rPr>
      </w:pPr>
      <w:r w:rsidRPr="00B85E4D">
        <w:rPr>
          <w:sz w:val="24"/>
          <w:szCs w:val="24"/>
          <w:lang w:val="en-GB"/>
        </w:rPr>
        <w:t xml:space="preserve">where: </w:t>
      </w:r>
    </w:p>
    <w:p w14:paraId="50FF9220" w14:textId="77777777" w:rsidR="001B218D" w:rsidRPr="00B85E4D" w:rsidRDefault="001B218D" w:rsidP="001B218D">
      <w:pPr>
        <w:spacing w:after="0"/>
        <w:ind w:firstLine="708"/>
        <w:jc w:val="both"/>
        <w:rPr>
          <w:sz w:val="24"/>
          <w:szCs w:val="24"/>
          <w:lang w:val="en-GB"/>
        </w:rPr>
      </w:pPr>
      <w:r w:rsidRPr="00B85E4D">
        <w:rPr>
          <w:sz w:val="24"/>
          <w:szCs w:val="24"/>
          <w:lang w:val="en-GB"/>
        </w:rPr>
        <w:t xml:space="preserve">RC = the replacement </w:t>
      </w:r>
      <w:proofErr w:type="gramStart"/>
      <w:r w:rsidRPr="00B85E4D">
        <w:rPr>
          <w:sz w:val="24"/>
          <w:szCs w:val="24"/>
          <w:lang w:val="en-GB"/>
        </w:rPr>
        <w:t>cost;</w:t>
      </w:r>
      <w:proofErr w:type="gramEnd"/>
      <w:r w:rsidRPr="00B85E4D">
        <w:rPr>
          <w:sz w:val="24"/>
          <w:szCs w:val="24"/>
          <w:lang w:val="en-GB"/>
        </w:rPr>
        <w:t xml:space="preserve"> </w:t>
      </w:r>
    </w:p>
    <w:p w14:paraId="44623AF0" w14:textId="44119BFC" w:rsidR="001B218D" w:rsidRPr="00B85E4D" w:rsidRDefault="001B218D" w:rsidP="001B218D">
      <w:pPr>
        <w:spacing w:after="0"/>
        <w:ind w:firstLine="708"/>
        <w:jc w:val="both"/>
        <w:rPr>
          <w:sz w:val="24"/>
          <w:szCs w:val="24"/>
          <w:lang w:val="en-GB"/>
        </w:rPr>
      </w:pPr>
      <w:r w:rsidRPr="00B85E4D">
        <w:rPr>
          <w:sz w:val="24"/>
          <w:szCs w:val="24"/>
          <w:lang w:val="en-GB"/>
        </w:rPr>
        <w:lastRenderedPageBreak/>
        <w:t xml:space="preserve">TH = the margin threshold applicable to the netting set under the margin agreement below which the </w:t>
      </w:r>
      <w:r w:rsidR="00865CE4" w:rsidRPr="00B85E4D">
        <w:rPr>
          <w:sz w:val="24"/>
          <w:szCs w:val="24"/>
          <w:lang w:val="en-GB"/>
        </w:rPr>
        <w:t>bank</w:t>
      </w:r>
      <w:r w:rsidRPr="00B85E4D">
        <w:rPr>
          <w:sz w:val="24"/>
          <w:szCs w:val="24"/>
          <w:lang w:val="en-GB"/>
        </w:rPr>
        <w:t xml:space="preserve"> cannot call for collateral; and </w:t>
      </w:r>
    </w:p>
    <w:p w14:paraId="35E6DF0B" w14:textId="77777777" w:rsidR="001B218D" w:rsidRPr="00B85E4D" w:rsidRDefault="001B218D" w:rsidP="001B218D">
      <w:pPr>
        <w:spacing w:after="0"/>
        <w:ind w:firstLine="708"/>
        <w:jc w:val="both"/>
        <w:rPr>
          <w:sz w:val="24"/>
          <w:szCs w:val="24"/>
          <w:lang w:val="en-GB"/>
        </w:rPr>
      </w:pPr>
      <w:r w:rsidRPr="00B85E4D">
        <w:rPr>
          <w:sz w:val="24"/>
          <w:szCs w:val="24"/>
          <w:lang w:val="en-GB"/>
        </w:rPr>
        <w:t xml:space="preserve">MTA = the minimum transfer amount applicable to the netting set under the margin </w:t>
      </w:r>
      <w:proofErr w:type="gramStart"/>
      <w:r w:rsidRPr="00B85E4D">
        <w:rPr>
          <w:sz w:val="24"/>
          <w:szCs w:val="24"/>
          <w:lang w:val="en-GB"/>
        </w:rPr>
        <w:t>agreement;</w:t>
      </w:r>
      <w:proofErr w:type="gramEnd"/>
      <w:r w:rsidRPr="00B85E4D">
        <w:rPr>
          <w:sz w:val="24"/>
          <w:szCs w:val="24"/>
          <w:lang w:val="en-GB"/>
        </w:rPr>
        <w:t xml:space="preserve"> </w:t>
      </w:r>
    </w:p>
    <w:p w14:paraId="48F61B48" w14:textId="77777777" w:rsidR="001B218D" w:rsidRPr="00B85E4D" w:rsidRDefault="001B218D" w:rsidP="001B218D">
      <w:pPr>
        <w:spacing w:after="0"/>
        <w:ind w:firstLine="708"/>
        <w:jc w:val="both"/>
        <w:rPr>
          <w:sz w:val="24"/>
          <w:szCs w:val="24"/>
          <w:lang w:val="en-GB"/>
        </w:rPr>
      </w:pPr>
      <w:r w:rsidRPr="00B85E4D">
        <w:rPr>
          <w:sz w:val="24"/>
          <w:szCs w:val="24"/>
          <w:lang w:val="en-GB"/>
        </w:rPr>
        <w:t xml:space="preserve">100.4. by way of derogation from paragraph 51, for multiple netting sets that are subject to a margin agreement, banks shall calculate the replacement cost as the sum of the replacement cost of each individual netting set, calculated in accordance with paragraph 99 as if they were not </w:t>
      </w:r>
      <w:proofErr w:type="gramStart"/>
      <w:r w:rsidRPr="00B85E4D">
        <w:rPr>
          <w:sz w:val="24"/>
          <w:szCs w:val="24"/>
          <w:lang w:val="en-GB"/>
        </w:rPr>
        <w:t>margined;</w:t>
      </w:r>
      <w:proofErr w:type="gramEnd"/>
      <w:r w:rsidRPr="00B85E4D">
        <w:rPr>
          <w:sz w:val="24"/>
          <w:szCs w:val="24"/>
          <w:lang w:val="en-GB"/>
        </w:rPr>
        <w:t xml:space="preserve"> </w:t>
      </w:r>
    </w:p>
    <w:p w14:paraId="24DBA31F" w14:textId="77777777" w:rsidR="001B218D" w:rsidRPr="00B85E4D" w:rsidRDefault="001B218D" w:rsidP="001B218D">
      <w:pPr>
        <w:spacing w:after="0"/>
        <w:ind w:firstLine="708"/>
        <w:jc w:val="both"/>
        <w:rPr>
          <w:sz w:val="24"/>
          <w:szCs w:val="24"/>
          <w:lang w:val="en-GB"/>
        </w:rPr>
      </w:pPr>
      <w:r w:rsidRPr="00B85E4D">
        <w:rPr>
          <w:sz w:val="24"/>
          <w:szCs w:val="24"/>
          <w:lang w:val="en-GB"/>
        </w:rPr>
        <w:t xml:space="preserve">100.5. all hedging sets shall be established in accordance with paragraphs 59 and </w:t>
      </w:r>
      <w:proofErr w:type="gramStart"/>
      <w:r w:rsidRPr="00B85E4D">
        <w:rPr>
          <w:sz w:val="24"/>
          <w:szCs w:val="24"/>
          <w:lang w:val="en-GB"/>
        </w:rPr>
        <w:t>60;</w:t>
      </w:r>
      <w:proofErr w:type="gramEnd"/>
      <w:r w:rsidRPr="00B85E4D">
        <w:rPr>
          <w:sz w:val="24"/>
          <w:szCs w:val="24"/>
          <w:lang w:val="en-GB"/>
        </w:rPr>
        <w:t xml:space="preserve"> </w:t>
      </w:r>
    </w:p>
    <w:p w14:paraId="4617C30C" w14:textId="7BF620EC" w:rsidR="001B218D" w:rsidRPr="00B85E4D" w:rsidRDefault="001B218D" w:rsidP="001B218D">
      <w:pPr>
        <w:spacing w:after="0"/>
        <w:ind w:firstLine="708"/>
        <w:jc w:val="both"/>
        <w:rPr>
          <w:sz w:val="24"/>
          <w:szCs w:val="24"/>
          <w:lang w:val="en-GB"/>
        </w:rPr>
      </w:pPr>
      <w:r w:rsidRPr="00B85E4D">
        <w:rPr>
          <w:sz w:val="24"/>
          <w:szCs w:val="24"/>
          <w:lang w:val="en-GB"/>
        </w:rPr>
        <w:t xml:space="preserve">100.6. </w:t>
      </w:r>
      <w:r w:rsidR="00865CE4" w:rsidRPr="00B85E4D">
        <w:rPr>
          <w:sz w:val="24"/>
          <w:szCs w:val="24"/>
          <w:lang w:val="en-GB"/>
        </w:rPr>
        <w:t>bank</w:t>
      </w:r>
      <w:r w:rsidRPr="00B85E4D">
        <w:rPr>
          <w:sz w:val="24"/>
          <w:szCs w:val="24"/>
          <w:lang w:val="en-GB"/>
        </w:rPr>
        <w:t>s shall set to 1 the multiplier in the formula that is used to calculate the potential future exposure in paragraph 66, as follows:</w:t>
      </w:r>
    </w:p>
    <w:p w14:paraId="63A2E55B" w14:textId="370E05F3" w:rsidR="001B218D" w:rsidRPr="00B85E4D" w:rsidRDefault="001B218D" w:rsidP="001B218D">
      <w:pPr>
        <w:spacing w:after="0"/>
        <w:jc w:val="center"/>
        <w:rPr>
          <w:sz w:val="24"/>
          <w:szCs w:val="24"/>
          <w:lang w:val="en-GB"/>
        </w:rPr>
      </w:pPr>
      <w:r w:rsidRPr="00B85E4D">
        <w:rPr>
          <w:rFonts w:eastAsia="Times New Roman" w:cs="Times New Roman"/>
          <w:noProof/>
          <w:sz w:val="24"/>
          <w:szCs w:val="24"/>
          <w:lang w:val="en-GB" w:eastAsia="ro-MD"/>
        </w:rPr>
        <w:drawing>
          <wp:inline distT="0" distB="0" distL="0" distR="0" wp14:anchorId="30070143" wp14:editId="17C833D8">
            <wp:extent cx="1990725" cy="561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inline>
        </w:drawing>
      </w:r>
    </w:p>
    <w:p w14:paraId="5500F34C" w14:textId="77777777" w:rsidR="001B218D" w:rsidRPr="00B85E4D" w:rsidRDefault="001B218D" w:rsidP="001B218D">
      <w:pPr>
        <w:spacing w:after="0"/>
        <w:jc w:val="both"/>
        <w:rPr>
          <w:sz w:val="24"/>
          <w:szCs w:val="24"/>
          <w:lang w:val="en-GB"/>
        </w:rPr>
      </w:pPr>
      <w:r w:rsidRPr="00B85E4D">
        <w:rPr>
          <w:sz w:val="24"/>
          <w:szCs w:val="24"/>
          <w:lang w:val="en-GB"/>
        </w:rPr>
        <w:t xml:space="preserve">where: </w:t>
      </w:r>
    </w:p>
    <w:p w14:paraId="4B0E96B7" w14:textId="77777777" w:rsidR="001B218D" w:rsidRPr="00B85E4D" w:rsidRDefault="001B218D" w:rsidP="001B218D">
      <w:pPr>
        <w:spacing w:after="0"/>
        <w:jc w:val="both"/>
        <w:rPr>
          <w:sz w:val="24"/>
          <w:szCs w:val="24"/>
          <w:lang w:val="en-GB"/>
        </w:rPr>
      </w:pPr>
      <w:r w:rsidRPr="00B85E4D">
        <w:rPr>
          <w:sz w:val="24"/>
          <w:szCs w:val="24"/>
          <w:lang w:val="en-GB"/>
        </w:rPr>
        <w:t xml:space="preserve">PFE = the potential future exposure; and </w:t>
      </w:r>
    </w:p>
    <w:p w14:paraId="3D3E0A6E" w14:textId="10BAAAAE" w:rsidR="001B218D" w:rsidRPr="00B85E4D" w:rsidRDefault="001B218D" w:rsidP="001B218D">
      <w:pPr>
        <w:spacing w:after="0"/>
        <w:jc w:val="both"/>
        <w:rPr>
          <w:sz w:val="24"/>
          <w:szCs w:val="24"/>
          <w:lang w:val="en-GB"/>
        </w:rPr>
      </w:pPr>
      <w:proofErr w:type="spellStart"/>
      <w:r w:rsidRPr="00B85E4D">
        <w:rPr>
          <w:sz w:val="24"/>
          <w:szCs w:val="24"/>
          <w:lang w:val="en-GB"/>
        </w:rPr>
        <w:t>AddOn</w:t>
      </w:r>
      <w:proofErr w:type="spellEnd"/>
      <w:r w:rsidRPr="00B85E4D">
        <w:rPr>
          <w:sz w:val="24"/>
          <w:szCs w:val="24"/>
          <w:vertAlign w:val="superscript"/>
          <w:lang w:val="en-GB"/>
        </w:rPr>
        <w:t>(a)</w:t>
      </w:r>
      <w:r w:rsidRPr="00B85E4D">
        <w:rPr>
          <w:sz w:val="24"/>
          <w:szCs w:val="24"/>
          <w:lang w:val="en-GB"/>
        </w:rPr>
        <w:t xml:space="preserve"> = the add-on for risk </w:t>
      </w:r>
      <w:proofErr w:type="gramStart"/>
      <w:r w:rsidRPr="00B85E4D">
        <w:rPr>
          <w:sz w:val="24"/>
          <w:szCs w:val="24"/>
          <w:lang w:val="en-GB"/>
        </w:rPr>
        <w:t>category ”a</w:t>
      </w:r>
      <w:proofErr w:type="gramEnd"/>
      <w:r w:rsidRPr="00B85E4D">
        <w:rPr>
          <w:sz w:val="24"/>
          <w:szCs w:val="24"/>
          <w:lang w:val="en-GB"/>
        </w:rPr>
        <w:t>”;</w:t>
      </w:r>
    </w:p>
    <w:p w14:paraId="0B369BEF" w14:textId="77777777" w:rsidR="001B218D" w:rsidRPr="00B85E4D" w:rsidRDefault="001B218D" w:rsidP="001B218D">
      <w:pPr>
        <w:spacing w:after="0"/>
        <w:jc w:val="both"/>
        <w:rPr>
          <w:sz w:val="24"/>
          <w:szCs w:val="24"/>
          <w:lang w:val="en-GB"/>
        </w:rPr>
      </w:pPr>
    </w:p>
    <w:p w14:paraId="70715BBB" w14:textId="3476A174" w:rsidR="001B218D" w:rsidRPr="00B85E4D" w:rsidRDefault="001B218D" w:rsidP="001B218D">
      <w:pPr>
        <w:spacing w:after="0"/>
        <w:ind w:firstLine="708"/>
        <w:jc w:val="both"/>
        <w:rPr>
          <w:sz w:val="24"/>
          <w:szCs w:val="24"/>
          <w:lang w:val="en-GB"/>
        </w:rPr>
      </w:pPr>
      <w:r w:rsidRPr="00B85E4D">
        <w:rPr>
          <w:sz w:val="24"/>
          <w:szCs w:val="24"/>
          <w:lang w:val="en-GB"/>
        </w:rPr>
        <w:t>100.</w:t>
      </w:r>
      <w:r w:rsidR="00907CA1" w:rsidRPr="00B85E4D">
        <w:rPr>
          <w:sz w:val="24"/>
          <w:szCs w:val="24"/>
          <w:lang w:val="en-GB"/>
        </w:rPr>
        <w:t>7</w:t>
      </w:r>
      <w:r w:rsidRPr="00B85E4D">
        <w:rPr>
          <w:sz w:val="24"/>
          <w:szCs w:val="24"/>
          <w:lang w:val="en-GB"/>
        </w:rPr>
        <w:t xml:space="preserve">. by way of derogation from paragraph 70, for all transactions, </w:t>
      </w:r>
      <w:r w:rsidR="00865CE4" w:rsidRPr="00B85E4D">
        <w:rPr>
          <w:sz w:val="24"/>
          <w:szCs w:val="24"/>
          <w:lang w:val="en-GB"/>
        </w:rPr>
        <w:t xml:space="preserve">banks </w:t>
      </w:r>
      <w:r w:rsidRPr="00B85E4D">
        <w:rPr>
          <w:sz w:val="24"/>
          <w:szCs w:val="24"/>
          <w:lang w:val="en-GB"/>
        </w:rPr>
        <w:t>shall calculate the supervisory delta as follows:</w:t>
      </w:r>
    </w:p>
    <w:p w14:paraId="2B470739" w14:textId="0A63E758" w:rsidR="001B218D" w:rsidRPr="00B85E4D" w:rsidRDefault="001B218D" w:rsidP="00907CA1">
      <w:pPr>
        <w:spacing w:after="0"/>
        <w:ind w:firstLine="708"/>
        <w:rPr>
          <w:sz w:val="24"/>
          <w:szCs w:val="24"/>
          <w:lang w:val="en-GB"/>
        </w:rPr>
      </w:pPr>
      <w:r w:rsidRPr="00B85E4D">
        <w:rPr>
          <w:noProof/>
          <w:sz w:val="24"/>
          <w:szCs w:val="24"/>
          <w:lang w:val="en-GB"/>
        </w:rPr>
        <w:drawing>
          <wp:inline distT="0" distB="0" distL="0" distR="0" wp14:anchorId="35AEC275" wp14:editId="4DB9EA75">
            <wp:extent cx="5939790" cy="942827"/>
            <wp:effectExtent l="0" t="0" r="3810" b="0"/>
            <wp:docPr id="6986341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34174" name=""/>
                    <pic:cNvPicPr/>
                  </pic:nvPicPr>
                  <pic:blipFill>
                    <a:blip r:embed="rId42"/>
                    <a:stretch>
                      <a:fillRect/>
                    </a:stretch>
                  </pic:blipFill>
                  <pic:spPr>
                    <a:xfrm>
                      <a:off x="0" y="0"/>
                      <a:ext cx="5952441" cy="944835"/>
                    </a:xfrm>
                    <a:prstGeom prst="rect">
                      <a:avLst/>
                    </a:prstGeom>
                  </pic:spPr>
                </pic:pic>
              </a:graphicData>
            </a:graphic>
          </wp:inline>
        </w:drawing>
      </w:r>
    </w:p>
    <w:p w14:paraId="6D0FBCD7" w14:textId="77777777" w:rsidR="001B218D" w:rsidRPr="00B85E4D" w:rsidRDefault="001B218D" w:rsidP="001B218D">
      <w:pPr>
        <w:spacing w:after="0"/>
        <w:jc w:val="both"/>
        <w:rPr>
          <w:sz w:val="24"/>
          <w:szCs w:val="24"/>
          <w:lang w:val="en-GB"/>
        </w:rPr>
      </w:pPr>
    </w:p>
    <w:p w14:paraId="3F225D69" w14:textId="38FABD3D" w:rsidR="00907CA1" w:rsidRPr="00B85E4D" w:rsidRDefault="00907CA1" w:rsidP="00907CA1">
      <w:pPr>
        <w:spacing w:after="0"/>
        <w:ind w:firstLine="708"/>
        <w:jc w:val="both"/>
        <w:rPr>
          <w:sz w:val="24"/>
          <w:szCs w:val="24"/>
          <w:lang w:val="en-GB"/>
        </w:rPr>
      </w:pPr>
      <w:r w:rsidRPr="00B85E4D">
        <w:rPr>
          <w:sz w:val="24"/>
          <w:szCs w:val="24"/>
          <w:lang w:val="en-GB"/>
        </w:rPr>
        <w:t>100.8. the formula referred to in paragraph 72, subparagraphs 72.1. that is used to compute the supervisory duration factor shall read as follows:</w:t>
      </w:r>
    </w:p>
    <w:p w14:paraId="0F5FA821" w14:textId="77777777" w:rsidR="00907CA1" w:rsidRPr="00B85E4D" w:rsidRDefault="00907CA1" w:rsidP="001B218D">
      <w:pPr>
        <w:spacing w:after="0"/>
        <w:jc w:val="both"/>
        <w:rPr>
          <w:sz w:val="24"/>
          <w:szCs w:val="24"/>
          <w:lang w:val="en-GB"/>
        </w:rPr>
      </w:pPr>
    </w:p>
    <w:p w14:paraId="18A13A79" w14:textId="59168661" w:rsidR="00907CA1" w:rsidRPr="00B85E4D" w:rsidRDefault="00907CA1" w:rsidP="00907CA1">
      <w:pPr>
        <w:spacing w:after="0"/>
        <w:jc w:val="center"/>
        <w:rPr>
          <w:sz w:val="24"/>
          <w:szCs w:val="24"/>
          <w:lang w:val="en-GB"/>
        </w:rPr>
      </w:pPr>
      <w:r w:rsidRPr="00B85E4D">
        <w:rPr>
          <w:sz w:val="24"/>
          <w:szCs w:val="24"/>
          <w:lang w:val="en-GB"/>
        </w:rPr>
        <w:t>supervisory duration factor=E-S</w:t>
      </w:r>
    </w:p>
    <w:p w14:paraId="48776DEA" w14:textId="77777777" w:rsidR="00907CA1" w:rsidRPr="00B85E4D" w:rsidRDefault="00907CA1" w:rsidP="00907CA1">
      <w:pPr>
        <w:spacing w:after="0"/>
        <w:ind w:firstLine="708"/>
        <w:jc w:val="both"/>
        <w:rPr>
          <w:sz w:val="24"/>
          <w:szCs w:val="24"/>
          <w:lang w:val="en-GB"/>
        </w:rPr>
      </w:pPr>
      <w:r w:rsidRPr="00B85E4D">
        <w:rPr>
          <w:sz w:val="24"/>
          <w:szCs w:val="24"/>
          <w:lang w:val="en-GB"/>
        </w:rPr>
        <w:t xml:space="preserve">where: </w:t>
      </w:r>
    </w:p>
    <w:p w14:paraId="7A22096F" w14:textId="77777777" w:rsidR="00907CA1" w:rsidRPr="00B85E4D" w:rsidRDefault="00907CA1" w:rsidP="00907CA1">
      <w:pPr>
        <w:spacing w:after="0"/>
        <w:ind w:firstLine="708"/>
        <w:jc w:val="both"/>
        <w:rPr>
          <w:sz w:val="24"/>
          <w:szCs w:val="24"/>
          <w:lang w:val="en-GB"/>
        </w:rPr>
      </w:pPr>
      <w:r w:rsidRPr="00B85E4D">
        <w:rPr>
          <w:sz w:val="24"/>
          <w:szCs w:val="24"/>
          <w:lang w:val="en-GB"/>
        </w:rPr>
        <w:t xml:space="preserve">E = the period between the end date of a transaction and the reporting date; and </w:t>
      </w:r>
    </w:p>
    <w:p w14:paraId="02796A08" w14:textId="77777777" w:rsidR="00907CA1" w:rsidRPr="00B85E4D" w:rsidRDefault="00907CA1" w:rsidP="00907CA1">
      <w:pPr>
        <w:spacing w:after="0"/>
        <w:ind w:firstLine="708"/>
        <w:jc w:val="both"/>
        <w:rPr>
          <w:sz w:val="24"/>
          <w:szCs w:val="24"/>
          <w:lang w:val="en-GB"/>
        </w:rPr>
      </w:pPr>
      <w:r w:rsidRPr="00B85E4D">
        <w:rPr>
          <w:sz w:val="24"/>
          <w:szCs w:val="24"/>
          <w:lang w:val="en-GB"/>
        </w:rPr>
        <w:t xml:space="preserve">S = the period between the start date of a transaction and the reporting </w:t>
      </w:r>
      <w:proofErr w:type="gramStart"/>
      <w:r w:rsidRPr="00B85E4D">
        <w:rPr>
          <w:sz w:val="24"/>
          <w:szCs w:val="24"/>
          <w:lang w:val="en-GB"/>
        </w:rPr>
        <w:t>date;</w:t>
      </w:r>
      <w:proofErr w:type="gramEnd"/>
      <w:r w:rsidRPr="00B85E4D">
        <w:rPr>
          <w:sz w:val="24"/>
          <w:szCs w:val="24"/>
          <w:lang w:val="en-GB"/>
        </w:rPr>
        <w:t xml:space="preserve"> </w:t>
      </w:r>
    </w:p>
    <w:p w14:paraId="2E62BA9A" w14:textId="23010575" w:rsidR="00907CA1" w:rsidRPr="00B85E4D" w:rsidRDefault="00907CA1" w:rsidP="00907CA1">
      <w:pPr>
        <w:spacing w:after="0"/>
        <w:ind w:firstLine="708"/>
        <w:jc w:val="both"/>
        <w:rPr>
          <w:sz w:val="24"/>
          <w:szCs w:val="24"/>
          <w:lang w:val="en-GB"/>
        </w:rPr>
      </w:pPr>
      <w:r w:rsidRPr="00B85E4D">
        <w:rPr>
          <w:sz w:val="24"/>
          <w:szCs w:val="24"/>
          <w:lang w:val="en-GB"/>
        </w:rPr>
        <w:t xml:space="preserve">100.9. the maturity factor referred to in </w:t>
      </w:r>
      <w:r w:rsidR="006E0789" w:rsidRPr="00B85E4D">
        <w:rPr>
          <w:sz w:val="24"/>
          <w:szCs w:val="24"/>
          <w:lang w:val="en-GB"/>
        </w:rPr>
        <w:t>paragraph</w:t>
      </w:r>
      <w:r w:rsidRPr="00B85E4D">
        <w:rPr>
          <w:sz w:val="24"/>
          <w:szCs w:val="24"/>
          <w:lang w:val="en-GB"/>
        </w:rPr>
        <w:t xml:space="preserve"> 75 shall be calculated as follows: </w:t>
      </w:r>
    </w:p>
    <w:p w14:paraId="69A35402" w14:textId="77777777" w:rsidR="00907CA1" w:rsidRPr="00B85E4D" w:rsidRDefault="00907CA1" w:rsidP="00907CA1">
      <w:pPr>
        <w:spacing w:after="0"/>
        <w:ind w:firstLine="708"/>
        <w:jc w:val="both"/>
        <w:rPr>
          <w:sz w:val="24"/>
          <w:szCs w:val="24"/>
          <w:lang w:val="en-GB"/>
        </w:rPr>
      </w:pPr>
      <w:r w:rsidRPr="00B85E4D">
        <w:rPr>
          <w:sz w:val="24"/>
          <w:szCs w:val="24"/>
          <w:lang w:val="en-GB"/>
        </w:rPr>
        <w:t xml:space="preserve">100.9.1. for transactions included in netting sets referred to in paragraph 49, MF = </w:t>
      </w:r>
      <w:proofErr w:type="gramStart"/>
      <w:r w:rsidRPr="00B85E4D">
        <w:rPr>
          <w:sz w:val="24"/>
          <w:szCs w:val="24"/>
          <w:lang w:val="en-GB"/>
        </w:rPr>
        <w:t>1;</w:t>
      </w:r>
      <w:proofErr w:type="gramEnd"/>
      <w:r w:rsidRPr="00B85E4D">
        <w:rPr>
          <w:sz w:val="24"/>
          <w:szCs w:val="24"/>
          <w:lang w:val="en-GB"/>
        </w:rPr>
        <w:t xml:space="preserve"> </w:t>
      </w:r>
    </w:p>
    <w:p w14:paraId="4585683F" w14:textId="77777777" w:rsidR="00907CA1" w:rsidRPr="00B85E4D" w:rsidRDefault="00907CA1" w:rsidP="00907CA1">
      <w:pPr>
        <w:spacing w:after="0"/>
        <w:ind w:firstLine="708"/>
        <w:jc w:val="both"/>
        <w:rPr>
          <w:sz w:val="24"/>
          <w:szCs w:val="24"/>
          <w:lang w:val="en-GB"/>
        </w:rPr>
      </w:pPr>
      <w:r w:rsidRPr="00B85E4D">
        <w:rPr>
          <w:sz w:val="24"/>
          <w:szCs w:val="24"/>
          <w:lang w:val="en-GB"/>
        </w:rPr>
        <w:t xml:space="preserve">100.9.2. for transactions included in netting sets referred to in paragraphs 50 and 51, MF = </w:t>
      </w:r>
      <w:proofErr w:type="gramStart"/>
      <w:r w:rsidRPr="00B85E4D">
        <w:rPr>
          <w:sz w:val="24"/>
          <w:szCs w:val="24"/>
          <w:lang w:val="en-GB"/>
        </w:rPr>
        <w:t>0,42;</w:t>
      </w:r>
      <w:proofErr w:type="gramEnd"/>
    </w:p>
    <w:p w14:paraId="39570CDB" w14:textId="43575A24" w:rsidR="00907CA1" w:rsidRPr="00B85E4D" w:rsidRDefault="00907CA1" w:rsidP="00907CA1">
      <w:pPr>
        <w:spacing w:after="0"/>
        <w:ind w:firstLine="708"/>
        <w:jc w:val="both"/>
        <w:rPr>
          <w:sz w:val="24"/>
          <w:szCs w:val="24"/>
          <w:lang w:val="en-GB"/>
        </w:rPr>
      </w:pPr>
      <w:r w:rsidRPr="00B85E4D">
        <w:rPr>
          <w:b/>
          <w:bCs/>
          <w:sz w:val="24"/>
          <w:szCs w:val="24"/>
          <w:lang w:val="en-GB"/>
        </w:rPr>
        <w:t>1</w:t>
      </w:r>
      <w:r w:rsidRPr="00907CA1">
        <w:rPr>
          <w:b/>
          <w:bCs/>
          <w:sz w:val="24"/>
          <w:szCs w:val="24"/>
          <w:lang w:val="en-GB"/>
        </w:rPr>
        <w:t>00.10.</w:t>
      </w:r>
      <w:r w:rsidRPr="00907CA1">
        <w:rPr>
          <w:sz w:val="24"/>
          <w:szCs w:val="24"/>
          <w:lang w:val="en-GB"/>
        </w:rPr>
        <w:t xml:space="preserve"> The formula referred to in paragraph 80, which is used to calculate the effective notional value of the hedging set “j”, shall </w:t>
      </w:r>
      <w:r w:rsidRPr="00B85E4D">
        <w:rPr>
          <w:sz w:val="24"/>
          <w:szCs w:val="24"/>
          <w:lang w:val="en-GB"/>
        </w:rPr>
        <w:t>read</w:t>
      </w:r>
      <w:r w:rsidRPr="00907CA1">
        <w:rPr>
          <w:sz w:val="24"/>
          <w:szCs w:val="24"/>
          <w:lang w:val="en-GB"/>
        </w:rPr>
        <w:t xml:space="preserve"> as follows:</w:t>
      </w:r>
    </w:p>
    <w:p w14:paraId="6159D09A" w14:textId="4DA47B50" w:rsidR="00907CA1" w:rsidRPr="00907CA1" w:rsidRDefault="00907CA1" w:rsidP="00907CA1">
      <w:pPr>
        <w:spacing w:after="0"/>
        <w:ind w:firstLine="708"/>
        <w:jc w:val="center"/>
        <w:rPr>
          <w:sz w:val="24"/>
          <w:szCs w:val="24"/>
          <w:lang w:val="en-GB"/>
        </w:rPr>
      </w:pPr>
      <w:r w:rsidRPr="00B85E4D">
        <w:rPr>
          <w:rFonts w:eastAsia="Times New Roman" w:cs="Times New Roman"/>
          <w:noProof/>
          <w:sz w:val="24"/>
          <w:szCs w:val="24"/>
          <w:lang w:val="en-GB" w:eastAsia="ro-MD"/>
        </w:rPr>
        <w:drawing>
          <wp:inline distT="0" distB="0" distL="0" distR="0" wp14:anchorId="3A1B7DF6" wp14:editId="4BBC0E4C">
            <wp:extent cx="31527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52775" cy="390525"/>
                    </a:xfrm>
                    <a:prstGeom prst="rect">
                      <a:avLst/>
                    </a:prstGeom>
                    <a:noFill/>
                    <a:ln>
                      <a:noFill/>
                    </a:ln>
                  </pic:spPr>
                </pic:pic>
              </a:graphicData>
            </a:graphic>
          </wp:inline>
        </w:drawing>
      </w:r>
    </w:p>
    <w:p w14:paraId="56AF6236" w14:textId="77777777" w:rsidR="00907CA1" w:rsidRPr="00B85E4D" w:rsidRDefault="00907CA1" w:rsidP="00907CA1">
      <w:pPr>
        <w:spacing w:after="0"/>
        <w:ind w:firstLine="708"/>
        <w:jc w:val="both"/>
        <w:rPr>
          <w:sz w:val="24"/>
          <w:szCs w:val="24"/>
          <w:lang w:val="en-GB"/>
        </w:rPr>
      </w:pPr>
      <w:r w:rsidRPr="00B85E4D">
        <w:rPr>
          <w:sz w:val="24"/>
          <w:szCs w:val="24"/>
          <w:lang w:val="en-GB"/>
        </w:rPr>
        <w:t xml:space="preserve">where: </w:t>
      </w:r>
    </w:p>
    <w:p w14:paraId="3A6AACB0" w14:textId="6EB8168C" w:rsidR="00907CA1" w:rsidRPr="00B85E4D" w:rsidRDefault="00907CA1" w:rsidP="00907CA1">
      <w:pPr>
        <w:spacing w:after="0"/>
        <w:ind w:firstLine="708"/>
        <w:jc w:val="both"/>
        <w:rPr>
          <w:sz w:val="24"/>
          <w:szCs w:val="24"/>
          <w:lang w:val="en-GB"/>
        </w:rPr>
      </w:pPr>
      <w:proofErr w:type="spellStart"/>
      <w:proofErr w:type="gramStart"/>
      <w:r w:rsidRPr="00B85E4D">
        <w:rPr>
          <w:sz w:val="24"/>
          <w:szCs w:val="24"/>
          <w:lang w:val="en-GB"/>
        </w:rPr>
        <w:t>EffNot</w:t>
      </w:r>
      <w:r w:rsidRPr="00B85E4D">
        <w:rPr>
          <w:sz w:val="24"/>
          <w:szCs w:val="24"/>
          <w:vertAlign w:val="subscript"/>
          <w:lang w:val="en-GB"/>
        </w:rPr>
        <w:t>j</w:t>
      </w:r>
      <w:r w:rsidRPr="00B85E4D">
        <w:rPr>
          <w:sz w:val="24"/>
          <w:szCs w:val="24"/>
          <w:vertAlign w:val="superscript"/>
          <w:lang w:val="en-GB"/>
        </w:rPr>
        <w:t>IR</w:t>
      </w:r>
      <w:proofErr w:type="spellEnd"/>
      <w:r w:rsidRPr="00B85E4D">
        <w:rPr>
          <w:sz w:val="24"/>
          <w:szCs w:val="24"/>
          <w:lang w:val="en-GB"/>
        </w:rPr>
        <w:t xml:space="preserve">  =</w:t>
      </w:r>
      <w:proofErr w:type="gramEnd"/>
      <w:r w:rsidRPr="00B85E4D">
        <w:rPr>
          <w:sz w:val="24"/>
          <w:szCs w:val="24"/>
          <w:lang w:val="en-GB"/>
        </w:rPr>
        <w:t xml:space="preserve"> the effective notional amount of hedging set </w:t>
      </w:r>
      <w:r w:rsidRPr="00B85E4D">
        <w:rPr>
          <w:i/>
          <w:iCs/>
          <w:sz w:val="24"/>
          <w:szCs w:val="24"/>
          <w:lang w:val="en-GB"/>
        </w:rPr>
        <w:t>j</w:t>
      </w:r>
      <w:r w:rsidRPr="00B85E4D">
        <w:rPr>
          <w:sz w:val="24"/>
          <w:szCs w:val="24"/>
          <w:lang w:val="en-GB"/>
        </w:rPr>
        <w:t xml:space="preserve">; and </w:t>
      </w:r>
    </w:p>
    <w:p w14:paraId="3DD122A3" w14:textId="2745FB76" w:rsidR="00907CA1" w:rsidRPr="00B85E4D" w:rsidRDefault="00907CA1" w:rsidP="00907CA1">
      <w:pPr>
        <w:spacing w:after="0"/>
        <w:ind w:firstLine="708"/>
        <w:jc w:val="both"/>
        <w:rPr>
          <w:sz w:val="24"/>
          <w:szCs w:val="24"/>
          <w:lang w:val="en-GB"/>
        </w:rPr>
      </w:pPr>
      <w:proofErr w:type="spellStart"/>
      <w:r w:rsidRPr="00B85E4D">
        <w:rPr>
          <w:sz w:val="24"/>
          <w:szCs w:val="24"/>
          <w:lang w:val="en-GB"/>
        </w:rPr>
        <w:t>Dj</w:t>
      </w:r>
      <w:r w:rsidRPr="00B85E4D">
        <w:rPr>
          <w:sz w:val="24"/>
          <w:szCs w:val="24"/>
          <w:vertAlign w:val="subscript"/>
          <w:lang w:val="en-GB"/>
        </w:rPr>
        <w:t>k</w:t>
      </w:r>
      <w:proofErr w:type="spellEnd"/>
      <w:r w:rsidRPr="00B85E4D">
        <w:rPr>
          <w:sz w:val="24"/>
          <w:szCs w:val="24"/>
          <w:lang w:val="en-GB"/>
        </w:rPr>
        <w:t xml:space="preserve"> = the effective notional amount of bucket </w:t>
      </w:r>
      <w:r w:rsidRPr="00B85E4D">
        <w:rPr>
          <w:i/>
          <w:iCs/>
          <w:sz w:val="24"/>
          <w:szCs w:val="24"/>
          <w:lang w:val="en-GB"/>
        </w:rPr>
        <w:t>k</w:t>
      </w:r>
      <w:r w:rsidRPr="00B85E4D">
        <w:rPr>
          <w:sz w:val="24"/>
          <w:szCs w:val="24"/>
          <w:lang w:val="en-GB"/>
        </w:rPr>
        <w:t xml:space="preserve"> of hedging set </w:t>
      </w:r>
      <w:proofErr w:type="gramStart"/>
      <w:r w:rsidRPr="00B85E4D">
        <w:rPr>
          <w:i/>
          <w:iCs/>
          <w:sz w:val="24"/>
          <w:szCs w:val="24"/>
          <w:lang w:val="en-GB"/>
        </w:rPr>
        <w:t>j</w:t>
      </w:r>
      <w:r w:rsidRPr="00B85E4D">
        <w:rPr>
          <w:sz w:val="24"/>
          <w:szCs w:val="24"/>
          <w:lang w:val="en-GB"/>
        </w:rPr>
        <w:t>;</w:t>
      </w:r>
      <w:proofErr w:type="gramEnd"/>
      <w:r w:rsidRPr="00B85E4D">
        <w:rPr>
          <w:sz w:val="24"/>
          <w:szCs w:val="24"/>
          <w:lang w:val="en-GB"/>
        </w:rPr>
        <w:t xml:space="preserve"> </w:t>
      </w:r>
    </w:p>
    <w:p w14:paraId="4DC1E423" w14:textId="77777777" w:rsidR="00907CA1" w:rsidRPr="00B85E4D" w:rsidRDefault="00907CA1" w:rsidP="001B218D">
      <w:pPr>
        <w:spacing w:after="0"/>
        <w:jc w:val="both"/>
        <w:rPr>
          <w:sz w:val="24"/>
          <w:szCs w:val="24"/>
          <w:lang w:val="en-GB"/>
        </w:rPr>
      </w:pPr>
    </w:p>
    <w:p w14:paraId="0DAAE5CB" w14:textId="47608326" w:rsidR="001B218D" w:rsidRPr="00B85E4D" w:rsidRDefault="00907CA1" w:rsidP="00907CA1">
      <w:pPr>
        <w:spacing w:after="0"/>
        <w:ind w:firstLine="708"/>
        <w:jc w:val="both"/>
        <w:rPr>
          <w:sz w:val="24"/>
          <w:szCs w:val="24"/>
          <w:lang w:val="en-GB"/>
        </w:rPr>
      </w:pPr>
      <w:r w:rsidRPr="00B85E4D">
        <w:rPr>
          <w:b/>
          <w:bCs/>
          <w:sz w:val="24"/>
          <w:szCs w:val="24"/>
          <w:lang w:val="en-GB"/>
        </w:rPr>
        <w:t>100.11.</w:t>
      </w:r>
      <w:r w:rsidRPr="00B85E4D">
        <w:rPr>
          <w:sz w:val="24"/>
          <w:szCs w:val="24"/>
          <w:lang w:val="en-GB"/>
        </w:rPr>
        <w:t xml:space="preserve"> the formula referred to in paragraph 85 that is used to calculate the credit risk category add-on for hedging set </w:t>
      </w:r>
      <w:r w:rsidRPr="00B85E4D">
        <w:rPr>
          <w:i/>
          <w:iCs/>
          <w:sz w:val="24"/>
          <w:szCs w:val="24"/>
          <w:lang w:val="en-GB"/>
        </w:rPr>
        <w:t>j</w:t>
      </w:r>
      <w:r w:rsidRPr="00B85E4D">
        <w:rPr>
          <w:sz w:val="24"/>
          <w:szCs w:val="24"/>
          <w:lang w:val="en-GB"/>
        </w:rPr>
        <w:t xml:space="preserve"> shall read as follows:</w:t>
      </w:r>
    </w:p>
    <w:p w14:paraId="3C1B6D6E" w14:textId="77777777" w:rsidR="00907CA1" w:rsidRPr="00B85E4D" w:rsidRDefault="00907CA1" w:rsidP="00907CA1">
      <w:pPr>
        <w:spacing w:after="0"/>
        <w:ind w:firstLine="708"/>
        <w:jc w:val="both"/>
        <w:rPr>
          <w:sz w:val="24"/>
          <w:szCs w:val="24"/>
          <w:lang w:val="en-GB"/>
        </w:rPr>
      </w:pPr>
    </w:p>
    <w:p w14:paraId="12E066BE" w14:textId="56A3441D" w:rsidR="00907CA1" w:rsidRPr="00B85E4D" w:rsidRDefault="00907CA1" w:rsidP="00907CA1">
      <w:pPr>
        <w:spacing w:after="0"/>
        <w:ind w:firstLine="708"/>
        <w:jc w:val="center"/>
        <w:rPr>
          <w:sz w:val="24"/>
          <w:szCs w:val="24"/>
          <w:lang w:val="en-GB"/>
        </w:rPr>
      </w:pPr>
      <w:r w:rsidRPr="00B85E4D">
        <w:rPr>
          <w:noProof/>
          <w:sz w:val="24"/>
          <w:szCs w:val="24"/>
          <w:lang w:val="en-GB"/>
        </w:rPr>
        <w:lastRenderedPageBreak/>
        <w:drawing>
          <wp:inline distT="0" distB="0" distL="0" distR="0" wp14:anchorId="5078E0D4" wp14:editId="48560C1E">
            <wp:extent cx="4153480" cy="600159"/>
            <wp:effectExtent l="0" t="0" r="0" b="9525"/>
            <wp:docPr id="41331265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12655" name=""/>
                    <pic:cNvPicPr/>
                  </pic:nvPicPr>
                  <pic:blipFill>
                    <a:blip r:embed="rId44"/>
                    <a:stretch>
                      <a:fillRect/>
                    </a:stretch>
                  </pic:blipFill>
                  <pic:spPr>
                    <a:xfrm>
                      <a:off x="0" y="0"/>
                      <a:ext cx="4153480" cy="600159"/>
                    </a:xfrm>
                    <a:prstGeom prst="rect">
                      <a:avLst/>
                    </a:prstGeom>
                  </pic:spPr>
                </pic:pic>
              </a:graphicData>
            </a:graphic>
          </wp:inline>
        </w:drawing>
      </w:r>
    </w:p>
    <w:p w14:paraId="0CD4674B" w14:textId="77777777" w:rsidR="00907CA1" w:rsidRPr="00B85E4D" w:rsidRDefault="00907CA1" w:rsidP="00907CA1">
      <w:pPr>
        <w:spacing w:after="0"/>
        <w:ind w:firstLine="708"/>
        <w:rPr>
          <w:sz w:val="24"/>
          <w:szCs w:val="24"/>
          <w:lang w:val="en-GB"/>
        </w:rPr>
      </w:pPr>
      <w:r w:rsidRPr="00B85E4D">
        <w:rPr>
          <w:sz w:val="24"/>
          <w:szCs w:val="24"/>
          <w:lang w:val="en-GB"/>
        </w:rPr>
        <w:t xml:space="preserve">where: </w:t>
      </w:r>
    </w:p>
    <w:p w14:paraId="3C6963CE" w14:textId="0EB30E1B" w:rsidR="00907CA1" w:rsidRPr="00B85E4D" w:rsidRDefault="00907CA1" w:rsidP="00907CA1">
      <w:pPr>
        <w:spacing w:after="0"/>
        <w:ind w:firstLine="708"/>
        <w:rPr>
          <w:sz w:val="24"/>
          <w:szCs w:val="24"/>
          <w:lang w:val="en-GB"/>
        </w:rPr>
      </w:pPr>
      <w:proofErr w:type="spellStart"/>
      <w:proofErr w:type="gramStart"/>
      <w:r w:rsidRPr="00B85E4D">
        <w:rPr>
          <w:sz w:val="24"/>
          <w:szCs w:val="24"/>
          <w:lang w:val="en-GB"/>
        </w:rPr>
        <w:t>AddOn</w:t>
      </w:r>
      <w:r w:rsidRPr="00B85E4D">
        <w:rPr>
          <w:sz w:val="24"/>
          <w:szCs w:val="24"/>
          <w:vertAlign w:val="subscript"/>
          <w:lang w:val="en-GB"/>
        </w:rPr>
        <w:t>j</w:t>
      </w:r>
      <w:r w:rsidRPr="00B85E4D">
        <w:rPr>
          <w:sz w:val="24"/>
          <w:szCs w:val="24"/>
          <w:vertAlign w:val="superscript"/>
          <w:lang w:val="en-GB"/>
        </w:rPr>
        <w:t>Credit</w:t>
      </w:r>
      <w:proofErr w:type="spellEnd"/>
      <w:r w:rsidRPr="00B85E4D">
        <w:rPr>
          <w:sz w:val="24"/>
          <w:szCs w:val="24"/>
          <w:lang w:val="en-GB"/>
        </w:rPr>
        <w:t xml:space="preserve">  =</w:t>
      </w:r>
      <w:proofErr w:type="gramEnd"/>
      <w:r w:rsidRPr="00B85E4D">
        <w:rPr>
          <w:sz w:val="24"/>
          <w:szCs w:val="24"/>
          <w:lang w:val="en-GB"/>
        </w:rPr>
        <w:t xml:space="preserve"> the credit risk category add-on for hedging set </w:t>
      </w:r>
      <w:r w:rsidRPr="00B85E4D">
        <w:rPr>
          <w:i/>
          <w:iCs/>
          <w:sz w:val="24"/>
          <w:szCs w:val="24"/>
          <w:lang w:val="en-GB"/>
        </w:rPr>
        <w:t>j</w:t>
      </w:r>
      <w:r w:rsidRPr="00B85E4D">
        <w:rPr>
          <w:sz w:val="24"/>
          <w:szCs w:val="24"/>
          <w:lang w:val="en-GB"/>
        </w:rPr>
        <w:t xml:space="preserve">; and </w:t>
      </w:r>
    </w:p>
    <w:p w14:paraId="2E2864CE" w14:textId="4567DBD5" w:rsidR="00907CA1" w:rsidRPr="00B85E4D" w:rsidRDefault="00907CA1" w:rsidP="00907CA1">
      <w:pPr>
        <w:spacing w:after="0"/>
        <w:ind w:firstLine="708"/>
        <w:rPr>
          <w:sz w:val="24"/>
          <w:szCs w:val="24"/>
          <w:lang w:val="en-GB"/>
        </w:rPr>
      </w:pPr>
      <w:proofErr w:type="spellStart"/>
      <w:proofErr w:type="gramStart"/>
      <w:r w:rsidRPr="00B85E4D">
        <w:rPr>
          <w:sz w:val="24"/>
          <w:szCs w:val="24"/>
          <w:lang w:val="en-GB"/>
        </w:rPr>
        <w:t>AddOn</w:t>
      </w:r>
      <w:proofErr w:type="spellEnd"/>
      <w:r w:rsidRPr="00B85E4D">
        <w:rPr>
          <w:sz w:val="24"/>
          <w:szCs w:val="24"/>
          <w:lang w:val="en-GB"/>
        </w:rPr>
        <w:t>(</w:t>
      </w:r>
      <w:proofErr w:type="spellStart"/>
      <w:proofErr w:type="gramEnd"/>
      <w:r w:rsidRPr="00B85E4D">
        <w:rPr>
          <w:sz w:val="24"/>
          <w:szCs w:val="24"/>
          <w:lang w:val="en-GB"/>
        </w:rPr>
        <w:t>Entity</w:t>
      </w:r>
      <w:r w:rsidRPr="00B85E4D">
        <w:rPr>
          <w:sz w:val="24"/>
          <w:szCs w:val="24"/>
          <w:vertAlign w:val="subscript"/>
          <w:lang w:val="en-GB"/>
        </w:rPr>
        <w:t>k</w:t>
      </w:r>
      <w:proofErr w:type="spellEnd"/>
      <w:r w:rsidRPr="00B85E4D">
        <w:rPr>
          <w:sz w:val="24"/>
          <w:szCs w:val="24"/>
          <w:lang w:val="en-GB"/>
        </w:rPr>
        <w:t xml:space="preserve">) = the add-on for the credit reference entity </w:t>
      </w:r>
      <w:r w:rsidRPr="00B85E4D">
        <w:rPr>
          <w:i/>
          <w:iCs/>
          <w:sz w:val="24"/>
          <w:szCs w:val="24"/>
          <w:lang w:val="en-GB"/>
        </w:rPr>
        <w:t>k;</w:t>
      </w:r>
    </w:p>
    <w:p w14:paraId="206AB6F9" w14:textId="77777777" w:rsidR="00907CA1" w:rsidRPr="00B85E4D" w:rsidRDefault="00907CA1" w:rsidP="00B578C7">
      <w:pPr>
        <w:spacing w:after="0"/>
        <w:jc w:val="center"/>
        <w:rPr>
          <w:b/>
          <w:bCs/>
          <w:lang w:val="en-GB"/>
        </w:rPr>
      </w:pPr>
    </w:p>
    <w:p w14:paraId="522B8216" w14:textId="47512520" w:rsidR="008E4DBE" w:rsidRPr="00B85E4D" w:rsidRDefault="00907CA1" w:rsidP="00907CA1">
      <w:pPr>
        <w:spacing w:after="0"/>
        <w:ind w:firstLine="708"/>
        <w:jc w:val="both"/>
        <w:rPr>
          <w:sz w:val="24"/>
          <w:szCs w:val="24"/>
          <w:lang w:val="en-GB"/>
        </w:rPr>
      </w:pPr>
      <w:r w:rsidRPr="00B85E4D">
        <w:rPr>
          <w:b/>
          <w:bCs/>
          <w:sz w:val="24"/>
          <w:szCs w:val="24"/>
          <w:lang w:val="en-GB"/>
        </w:rPr>
        <w:t>100.12.</w:t>
      </w:r>
      <w:r w:rsidRPr="00B85E4D">
        <w:rPr>
          <w:sz w:val="24"/>
          <w:szCs w:val="24"/>
          <w:lang w:val="en-GB"/>
        </w:rPr>
        <w:t xml:space="preserve"> the formula referred to in </w:t>
      </w:r>
      <w:r w:rsidR="006E0789" w:rsidRPr="00B85E4D">
        <w:rPr>
          <w:sz w:val="24"/>
          <w:szCs w:val="24"/>
          <w:lang w:val="en-GB"/>
        </w:rPr>
        <w:t>paragraph</w:t>
      </w:r>
      <w:r w:rsidRPr="00B85E4D">
        <w:rPr>
          <w:sz w:val="24"/>
          <w:szCs w:val="24"/>
          <w:lang w:val="en-GB"/>
        </w:rPr>
        <w:t xml:space="preserve"> 90 that is used to calculate the equity risk category add-on for hedging set </w:t>
      </w:r>
      <w:r w:rsidRPr="00B85E4D">
        <w:rPr>
          <w:i/>
          <w:iCs/>
          <w:sz w:val="24"/>
          <w:szCs w:val="24"/>
          <w:lang w:val="en-GB"/>
        </w:rPr>
        <w:t>j</w:t>
      </w:r>
      <w:r w:rsidRPr="00B85E4D">
        <w:rPr>
          <w:sz w:val="24"/>
          <w:szCs w:val="24"/>
          <w:lang w:val="en-GB"/>
        </w:rPr>
        <w:t xml:space="preserve"> shall read as follows: </w:t>
      </w:r>
    </w:p>
    <w:p w14:paraId="7976FFD8" w14:textId="1BCF9B18" w:rsidR="008E4DBE" w:rsidRPr="00B85E4D" w:rsidRDefault="008E4DBE" w:rsidP="00907CA1">
      <w:pPr>
        <w:spacing w:after="0"/>
        <w:ind w:firstLine="708"/>
        <w:jc w:val="both"/>
        <w:rPr>
          <w:sz w:val="24"/>
          <w:szCs w:val="24"/>
          <w:lang w:val="en-GB"/>
        </w:rPr>
      </w:pPr>
      <w:r w:rsidRPr="00B85E4D">
        <w:rPr>
          <w:sz w:val="24"/>
          <w:szCs w:val="24"/>
          <w:lang w:val="en-GB"/>
        </w:rPr>
        <w:t xml:space="preserve"> </w:t>
      </w:r>
      <w:r w:rsidRPr="00B85E4D">
        <w:rPr>
          <w:noProof/>
          <w:sz w:val="24"/>
          <w:szCs w:val="24"/>
          <w:lang w:val="en-GB"/>
        </w:rPr>
        <w:drawing>
          <wp:inline distT="0" distB="0" distL="0" distR="0" wp14:anchorId="067DA4B7" wp14:editId="1D24AE6A">
            <wp:extent cx="4086795" cy="571580"/>
            <wp:effectExtent l="0" t="0" r="0" b="0"/>
            <wp:docPr id="104386649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66496" name=""/>
                    <pic:cNvPicPr/>
                  </pic:nvPicPr>
                  <pic:blipFill>
                    <a:blip r:embed="rId45"/>
                    <a:stretch>
                      <a:fillRect/>
                    </a:stretch>
                  </pic:blipFill>
                  <pic:spPr>
                    <a:xfrm>
                      <a:off x="0" y="0"/>
                      <a:ext cx="4086795" cy="571580"/>
                    </a:xfrm>
                    <a:prstGeom prst="rect">
                      <a:avLst/>
                    </a:prstGeom>
                  </pic:spPr>
                </pic:pic>
              </a:graphicData>
            </a:graphic>
          </wp:inline>
        </w:drawing>
      </w:r>
    </w:p>
    <w:p w14:paraId="31A88566" w14:textId="77777777" w:rsidR="008E4DBE" w:rsidRPr="00B85E4D" w:rsidRDefault="008E4DBE" w:rsidP="00907CA1">
      <w:pPr>
        <w:spacing w:after="0"/>
        <w:ind w:firstLine="708"/>
        <w:jc w:val="both"/>
        <w:rPr>
          <w:sz w:val="24"/>
          <w:szCs w:val="24"/>
          <w:lang w:val="en-GB"/>
        </w:rPr>
      </w:pPr>
    </w:p>
    <w:p w14:paraId="7CF21D53" w14:textId="77777777" w:rsidR="008E4DBE" w:rsidRPr="00B85E4D" w:rsidRDefault="00907CA1" w:rsidP="00907CA1">
      <w:pPr>
        <w:spacing w:after="0"/>
        <w:ind w:firstLine="708"/>
        <w:jc w:val="both"/>
        <w:rPr>
          <w:sz w:val="24"/>
          <w:szCs w:val="24"/>
          <w:lang w:val="en-GB"/>
        </w:rPr>
      </w:pPr>
      <w:r w:rsidRPr="00B85E4D">
        <w:rPr>
          <w:sz w:val="24"/>
          <w:szCs w:val="24"/>
          <w:lang w:val="en-GB"/>
        </w:rPr>
        <w:t xml:space="preserve">where: </w:t>
      </w:r>
    </w:p>
    <w:p w14:paraId="0B52997E" w14:textId="77777777" w:rsidR="008E4DBE" w:rsidRPr="00B85E4D" w:rsidRDefault="00907CA1" w:rsidP="00907CA1">
      <w:pPr>
        <w:spacing w:after="0"/>
        <w:ind w:firstLine="708"/>
        <w:jc w:val="both"/>
        <w:rPr>
          <w:sz w:val="24"/>
          <w:szCs w:val="24"/>
          <w:lang w:val="en-GB"/>
        </w:rPr>
      </w:pPr>
      <w:proofErr w:type="spellStart"/>
      <w:r w:rsidRPr="00B85E4D">
        <w:rPr>
          <w:sz w:val="24"/>
          <w:szCs w:val="24"/>
          <w:lang w:val="en-GB"/>
        </w:rPr>
        <w:t>AddOn</w:t>
      </w:r>
      <w:r w:rsidR="008E4DBE" w:rsidRPr="00B85E4D">
        <w:rPr>
          <w:sz w:val="24"/>
          <w:szCs w:val="24"/>
          <w:vertAlign w:val="subscript"/>
          <w:lang w:val="en-GB"/>
        </w:rPr>
        <w:t>j</w:t>
      </w:r>
      <w:r w:rsidRPr="00B85E4D">
        <w:rPr>
          <w:sz w:val="24"/>
          <w:szCs w:val="24"/>
          <w:vertAlign w:val="superscript"/>
          <w:lang w:val="en-GB"/>
        </w:rPr>
        <w:t>Equity</w:t>
      </w:r>
      <w:proofErr w:type="spellEnd"/>
      <w:r w:rsidRPr="00B85E4D">
        <w:rPr>
          <w:sz w:val="24"/>
          <w:szCs w:val="24"/>
          <w:lang w:val="en-GB"/>
        </w:rPr>
        <w:t xml:space="preserve">= the equity risk category add-on for hedging set j; and </w:t>
      </w:r>
    </w:p>
    <w:p w14:paraId="2E0EED4F" w14:textId="77777777" w:rsidR="008E4DBE" w:rsidRPr="00B85E4D" w:rsidRDefault="00907CA1" w:rsidP="00907CA1">
      <w:pPr>
        <w:spacing w:after="0"/>
        <w:ind w:firstLine="708"/>
        <w:jc w:val="both"/>
        <w:rPr>
          <w:sz w:val="24"/>
          <w:szCs w:val="24"/>
          <w:lang w:val="en-GB"/>
        </w:rPr>
      </w:pPr>
      <w:proofErr w:type="spellStart"/>
      <w:proofErr w:type="gramStart"/>
      <w:r w:rsidRPr="00B85E4D">
        <w:rPr>
          <w:sz w:val="24"/>
          <w:szCs w:val="24"/>
          <w:lang w:val="en-GB"/>
        </w:rPr>
        <w:t>AddOn</w:t>
      </w:r>
      <w:proofErr w:type="spellEnd"/>
      <w:r w:rsidRPr="00B85E4D">
        <w:rPr>
          <w:sz w:val="24"/>
          <w:szCs w:val="24"/>
          <w:lang w:val="en-GB"/>
        </w:rPr>
        <w:t>(</w:t>
      </w:r>
      <w:proofErr w:type="spellStart"/>
      <w:proofErr w:type="gramEnd"/>
      <w:r w:rsidRPr="00B85E4D">
        <w:rPr>
          <w:sz w:val="24"/>
          <w:szCs w:val="24"/>
          <w:lang w:val="en-GB"/>
        </w:rPr>
        <w:t>Entity</w:t>
      </w:r>
      <w:r w:rsidRPr="00B85E4D">
        <w:rPr>
          <w:sz w:val="24"/>
          <w:szCs w:val="24"/>
          <w:vertAlign w:val="subscript"/>
          <w:lang w:val="en-GB"/>
        </w:rPr>
        <w:t>k</w:t>
      </w:r>
      <w:proofErr w:type="spellEnd"/>
      <w:r w:rsidRPr="00B85E4D">
        <w:rPr>
          <w:sz w:val="24"/>
          <w:szCs w:val="24"/>
          <w:lang w:val="en-GB"/>
        </w:rPr>
        <w:t xml:space="preserve">) = the add-on for the credit reference entity k; </w:t>
      </w:r>
    </w:p>
    <w:p w14:paraId="7286B65E" w14:textId="0159A3E7" w:rsidR="00907CA1" w:rsidRPr="00B85E4D" w:rsidRDefault="008E4DBE" w:rsidP="00907CA1">
      <w:pPr>
        <w:spacing w:after="0"/>
        <w:ind w:firstLine="708"/>
        <w:jc w:val="both"/>
        <w:rPr>
          <w:sz w:val="24"/>
          <w:szCs w:val="24"/>
          <w:lang w:val="en-GB"/>
        </w:rPr>
      </w:pPr>
      <w:r w:rsidRPr="00B85E4D">
        <w:rPr>
          <w:sz w:val="24"/>
          <w:szCs w:val="24"/>
          <w:lang w:val="en-GB"/>
        </w:rPr>
        <w:t xml:space="preserve">100.13. </w:t>
      </w:r>
      <w:r w:rsidR="00907CA1" w:rsidRPr="00B85E4D">
        <w:rPr>
          <w:sz w:val="24"/>
          <w:szCs w:val="24"/>
          <w:lang w:val="en-GB"/>
        </w:rPr>
        <w:t xml:space="preserve">the formula referred to in </w:t>
      </w:r>
      <w:r w:rsidRPr="00B85E4D">
        <w:rPr>
          <w:sz w:val="24"/>
          <w:szCs w:val="24"/>
          <w:lang w:val="en-GB"/>
        </w:rPr>
        <w:t>paragraph 95</w:t>
      </w:r>
      <w:r w:rsidR="00907CA1" w:rsidRPr="00B85E4D">
        <w:rPr>
          <w:sz w:val="24"/>
          <w:szCs w:val="24"/>
          <w:lang w:val="en-GB"/>
        </w:rPr>
        <w:t xml:space="preserve"> that is used to calculate the commodity risk category add-on for hedging set </w:t>
      </w:r>
      <w:r w:rsidR="00907CA1" w:rsidRPr="00B85E4D">
        <w:rPr>
          <w:i/>
          <w:iCs/>
          <w:sz w:val="24"/>
          <w:szCs w:val="24"/>
          <w:lang w:val="en-GB"/>
        </w:rPr>
        <w:t>j</w:t>
      </w:r>
      <w:r w:rsidR="00907CA1" w:rsidRPr="00B85E4D">
        <w:rPr>
          <w:sz w:val="24"/>
          <w:szCs w:val="24"/>
          <w:lang w:val="en-GB"/>
        </w:rPr>
        <w:t xml:space="preserve"> shall read as follows:</w:t>
      </w:r>
    </w:p>
    <w:p w14:paraId="225B3DD3" w14:textId="47C8B24B" w:rsidR="00907CA1" w:rsidRPr="00B85E4D" w:rsidRDefault="008E4DBE" w:rsidP="00B578C7">
      <w:pPr>
        <w:spacing w:after="0"/>
        <w:jc w:val="center"/>
        <w:rPr>
          <w:b/>
          <w:bCs/>
          <w:lang w:val="en-GB"/>
        </w:rPr>
      </w:pPr>
      <w:r w:rsidRPr="00B85E4D">
        <w:rPr>
          <w:b/>
          <w:bCs/>
          <w:noProof/>
          <w:lang w:val="en-GB"/>
        </w:rPr>
        <w:drawing>
          <wp:inline distT="0" distB="0" distL="0" distR="0" wp14:anchorId="796CCB6C" wp14:editId="5DC4E8D1">
            <wp:extent cx="3991532" cy="666843"/>
            <wp:effectExtent l="0" t="0" r="9525" b="0"/>
            <wp:docPr id="137480754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07540" name=""/>
                    <pic:cNvPicPr/>
                  </pic:nvPicPr>
                  <pic:blipFill>
                    <a:blip r:embed="rId46"/>
                    <a:stretch>
                      <a:fillRect/>
                    </a:stretch>
                  </pic:blipFill>
                  <pic:spPr>
                    <a:xfrm>
                      <a:off x="0" y="0"/>
                      <a:ext cx="3991532" cy="666843"/>
                    </a:xfrm>
                    <a:prstGeom prst="rect">
                      <a:avLst/>
                    </a:prstGeom>
                  </pic:spPr>
                </pic:pic>
              </a:graphicData>
            </a:graphic>
          </wp:inline>
        </w:drawing>
      </w:r>
    </w:p>
    <w:p w14:paraId="321B5C59" w14:textId="77777777" w:rsidR="008E4DBE" w:rsidRPr="00B85E4D" w:rsidRDefault="008E4DBE" w:rsidP="008E4DBE">
      <w:pPr>
        <w:spacing w:after="0"/>
        <w:ind w:firstLine="708"/>
        <w:rPr>
          <w:sz w:val="24"/>
          <w:szCs w:val="24"/>
          <w:lang w:val="en-GB"/>
        </w:rPr>
      </w:pPr>
      <w:r w:rsidRPr="00B85E4D">
        <w:rPr>
          <w:sz w:val="24"/>
          <w:szCs w:val="24"/>
          <w:lang w:val="en-GB"/>
        </w:rPr>
        <w:t xml:space="preserve">where: </w:t>
      </w:r>
    </w:p>
    <w:p w14:paraId="5588E6DF" w14:textId="77777777" w:rsidR="008E4DBE" w:rsidRPr="00B85E4D" w:rsidRDefault="008E4DBE" w:rsidP="008E4DBE">
      <w:pPr>
        <w:spacing w:after="0"/>
        <w:ind w:firstLine="708"/>
        <w:rPr>
          <w:sz w:val="24"/>
          <w:szCs w:val="24"/>
          <w:lang w:val="en-GB"/>
        </w:rPr>
      </w:pPr>
      <w:proofErr w:type="spellStart"/>
      <w:proofErr w:type="gramStart"/>
      <w:r w:rsidRPr="00B85E4D">
        <w:rPr>
          <w:sz w:val="24"/>
          <w:szCs w:val="24"/>
          <w:lang w:val="en-GB"/>
        </w:rPr>
        <w:t>AddOn</w:t>
      </w:r>
      <w:r w:rsidRPr="00B85E4D">
        <w:rPr>
          <w:sz w:val="24"/>
          <w:szCs w:val="24"/>
          <w:vertAlign w:val="subscript"/>
          <w:lang w:val="en-GB"/>
        </w:rPr>
        <w:t>j</w:t>
      </w:r>
      <w:r w:rsidRPr="00B85E4D">
        <w:rPr>
          <w:sz w:val="24"/>
          <w:szCs w:val="24"/>
          <w:vertAlign w:val="superscript"/>
          <w:lang w:val="en-GB"/>
        </w:rPr>
        <w:t>Com</w:t>
      </w:r>
      <w:proofErr w:type="spellEnd"/>
      <w:r w:rsidRPr="00B85E4D">
        <w:rPr>
          <w:sz w:val="24"/>
          <w:szCs w:val="24"/>
          <w:lang w:val="en-GB"/>
        </w:rPr>
        <w:t xml:space="preserve">  =</w:t>
      </w:r>
      <w:proofErr w:type="gramEnd"/>
      <w:r w:rsidRPr="00B85E4D">
        <w:rPr>
          <w:sz w:val="24"/>
          <w:szCs w:val="24"/>
          <w:lang w:val="en-GB"/>
        </w:rPr>
        <w:t xml:space="preserve"> the commodity risk category add-on for hedging set j; and </w:t>
      </w:r>
    </w:p>
    <w:p w14:paraId="39875BEE" w14:textId="1ECDBAED" w:rsidR="00907CA1" w:rsidRPr="00B85E4D" w:rsidRDefault="008E4DBE" w:rsidP="008E4DBE">
      <w:pPr>
        <w:spacing w:after="0"/>
        <w:ind w:firstLine="708"/>
        <w:rPr>
          <w:sz w:val="24"/>
          <w:szCs w:val="24"/>
          <w:lang w:val="en-GB"/>
        </w:rPr>
      </w:pPr>
      <w:proofErr w:type="spellStart"/>
      <w:proofErr w:type="gramStart"/>
      <w:r w:rsidRPr="00B85E4D">
        <w:rPr>
          <w:sz w:val="24"/>
          <w:szCs w:val="24"/>
          <w:lang w:val="en-GB"/>
        </w:rPr>
        <w:t>AddOn</w:t>
      </w:r>
      <w:proofErr w:type="spellEnd"/>
      <w:r w:rsidRPr="00B85E4D">
        <w:rPr>
          <w:sz w:val="24"/>
          <w:szCs w:val="24"/>
          <w:lang w:val="en-GB"/>
        </w:rPr>
        <w:t>(</w:t>
      </w:r>
      <w:proofErr w:type="spellStart"/>
      <w:proofErr w:type="gramEnd"/>
      <w:r w:rsidRPr="00B85E4D">
        <w:rPr>
          <w:sz w:val="24"/>
          <w:szCs w:val="24"/>
          <w:lang w:val="en-GB"/>
        </w:rPr>
        <w:t>Type</w:t>
      </w:r>
      <w:r w:rsidRPr="00B85E4D">
        <w:rPr>
          <w:sz w:val="24"/>
          <w:szCs w:val="24"/>
          <w:vertAlign w:val="superscript"/>
          <w:lang w:val="en-GB"/>
        </w:rPr>
        <w:t>j</w:t>
      </w:r>
      <w:r w:rsidRPr="00B85E4D">
        <w:rPr>
          <w:sz w:val="24"/>
          <w:szCs w:val="24"/>
          <w:vertAlign w:val="subscript"/>
          <w:lang w:val="en-GB"/>
        </w:rPr>
        <w:t>k</w:t>
      </w:r>
      <w:proofErr w:type="spellEnd"/>
      <w:r w:rsidRPr="00B85E4D">
        <w:rPr>
          <w:sz w:val="24"/>
          <w:szCs w:val="24"/>
          <w:lang w:val="en-GB"/>
        </w:rPr>
        <w:t>) = the add-on for the commodity reference type k</w:t>
      </w:r>
    </w:p>
    <w:p w14:paraId="28EECEDD" w14:textId="77777777" w:rsidR="008E4DBE" w:rsidRPr="00B85E4D" w:rsidRDefault="008E4DBE" w:rsidP="00B578C7">
      <w:pPr>
        <w:spacing w:after="0"/>
        <w:jc w:val="center"/>
        <w:rPr>
          <w:b/>
          <w:bCs/>
          <w:lang w:val="en-GB"/>
        </w:rPr>
      </w:pPr>
    </w:p>
    <w:p w14:paraId="2C45138B" w14:textId="7AB84AD5" w:rsidR="008E4DBE" w:rsidRPr="005733A5" w:rsidRDefault="008E4DBE" w:rsidP="00B578C7">
      <w:pPr>
        <w:spacing w:after="0"/>
        <w:jc w:val="center"/>
        <w:rPr>
          <w:b/>
          <w:bCs/>
          <w:sz w:val="24"/>
          <w:szCs w:val="24"/>
          <w:lang w:val="en-GB"/>
        </w:rPr>
      </w:pPr>
      <w:r w:rsidRPr="005733A5">
        <w:rPr>
          <w:b/>
          <w:bCs/>
          <w:sz w:val="24"/>
          <w:szCs w:val="24"/>
          <w:lang w:val="en-GB"/>
        </w:rPr>
        <w:t>Chapter V</w:t>
      </w:r>
      <w:r w:rsidRPr="005733A5">
        <w:rPr>
          <w:b/>
          <w:bCs/>
          <w:sz w:val="24"/>
          <w:szCs w:val="24"/>
          <w:lang w:val="en-GB"/>
        </w:rPr>
        <w:br/>
        <w:t>Original of the exposure method</w:t>
      </w:r>
    </w:p>
    <w:p w14:paraId="660F3573" w14:textId="77777777" w:rsidR="008E4DBE" w:rsidRPr="00B85E4D" w:rsidRDefault="008E4DBE" w:rsidP="008E4DBE">
      <w:pPr>
        <w:spacing w:after="0"/>
        <w:rPr>
          <w:b/>
          <w:bCs/>
          <w:lang w:val="en-GB"/>
        </w:rPr>
      </w:pPr>
    </w:p>
    <w:p w14:paraId="46FF2A13" w14:textId="30000A9C" w:rsidR="008E4DBE" w:rsidRPr="00B85E4D" w:rsidRDefault="008E4DBE" w:rsidP="008E4DBE">
      <w:pPr>
        <w:spacing w:after="0"/>
        <w:ind w:firstLine="708"/>
        <w:jc w:val="both"/>
        <w:rPr>
          <w:sz w:val="24"/>
          <w:szCs w:val="24"/>
          <w:lang w:val="en-GB"/>
        </w:rPr>
      </w:pPr>
      <w:r w:rsidRPr="00B85E4D">
        <w:rPr>
          <w:b/>
          <w:bCs/>
          <w:sz w:val="24"/>
          <w:szCs w:val="24"/>
          <w:lang w:val="en-GB"/>
        </w:rPr>
        <w:t>101.</w:t>
      </w:r>
      <w:r w:rsidRPr="00B85E4D">
        <w:rPr>
          <w:sz w:val="24"/>
          <w:szCs w:val="24"/>
          <w:lang w:val="en-GB"/>
        </w:rPr>
        <w:t xml:space="preserve"> Banks may calculate a single exposure value for all the transactions within a contractual netting agreement where all the conditions set out in paragraphs 39 and 40 are met. Otherwise, banks shall calculate an exposure value separately for each transaction, which shall be treated as its own netting set. </w:t>
      </w:r>
    </w:p>
    <w:p w14:paraId="65605C37" w14:textId="77777777" w:rsidR="008E4DBE" w:rsidRPr="00B85E4D" w:rsidRDefault="008E4DBE" w:rsidP="008E4DBE">
      <w:pPr>
        <w:spacing w:after="0"/>
        <w:ind w:firstLine="708"/>
        <w:jc w:val="both"/>
        <w:rPr>
          <w:sz w:val="24"/>
          <w:szCs w:val="24"/>
          <w:lang w:val="en-GB"/>
        </w:rPr>
      </w:pPr>
      <w:r w:rsidRPr="00B85E4D">
        <w:rPr>
          <w:b/>
          <w:bCs/>
          <w:sz w:val="24"/>
          <w:szCs w:val="24"/>
          <w:lang w:val="en-GB"/>
        </w:rPr>
        <w:t>102.</w:t>
      </w:r>
      <w:r w:rsidRPr="00B85E4D">
        <w:rPr>
          <w:sz w:val="24"/>
          <w:szCs w:val="24"/>
          <w:lang w:val="en-GB"/>
        </w:rPr>
        <w:t xml:space="preserve"> The exposure value of a netting set or a transaction shall be the product of 1,4 times the sum of the current replacement cost and the potential future exposure. </w:t>
      </w:r>
    </w:p>
    <w:p w14:paraId="1482B10E" w14:textId="77777777" w:rsidR="008E4DBE" w:rsidRPr="00B85E4D" w:rsidRDefault="008E4DBE" w:rsidP="008E4DBE">
      <w:pPr>
        <w:spacing w:after="0"/>
        <w:ind w:firstLine="708"/>
        <w:jc w:val="both"/>
        <w:rPr>
          <w:sz w:val="24"/>
          <w:szCs w:val="24"/>
          <w:lang w:val="en-GB"/>
        </w:rPr>
      </w:pPr>
      <w:r w:rsidRPr="00B85E4D">
        <w:rPr>
          <w:b/>
          <w:bCs/>
          <w:sz w:val="24"/>
          <w:szCs w:val="24"/>
          <w:lang w:val="en-GB"/>
        </w:rPr>
        <w:t>103.</w:t>
      </w:r>
      <w:r w:rsidRPr="00B85E4D">
        <w:rPr>
          <w:sz w:val="24"/>
          <w:szCs w:val="24"/>
          <w:lang w:val="en-GB"/>
        </w:rPr>
        <w:t xml:space="preserve"> The current replacement cost referred to in paragraph 102 shall be calculated as follows: </w:t>
      </w:r>
    </w:p>
    <w:p w14:paraId="45993437" w14:textId="6C5E6FA5" w:rsidR="008E4DBE" w:rsidRPr="00B85E4D" w:rsidRDefault="008E4DBE" w:rsidP="008E4DBE">
      <w:pPr>
        <w:spacing w:after="0"/>
        <w:ind w:firstLine="708"/>
        <w:jc w:val="both"/>
        <w:rPr>
          <w:sz w:val="24"/>
          <w:szCs w:val="24"/>
          <w:lang w:val="en-GB"/>
        </w:rPr>
      </w:pPr>
      <w:r w:rsidRPr="00B85E4D">
        <w:rPr>
          <w:sz w:val="24"/>
          <w:szCs w:val="24"/>
          <w:lang w:val="en-GB"/>
        </w:rPr>
        <w:t>103.1. for netting sets of transactions that are traded on a recognised exchange or centrally cleared by a central counterparty authorised in accordance with European Union Directives, or recognised in a third party, or for which collateral is exchanged bilaterally with the counterparty, banks shall use the following formula:</w:t>
      </w:r>
    </w:p>
    <w:p w14:paraId="435FCF74" w14:textId="77777777" w:rsidR="008E4DBE" w:rsidRPr="00B85E4D" w:rsidRDefault="008E4DBE" w:rsidP="008E4DBE">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RC = TH + MTA</w:t>
      </w:r>
    </w:p>
    <w:p w14:paraId="2715CA38" w14:textId="77777777" w:rsidR="008E4DBE" w:rsidRPr="008E4DBE" w:rsidRDefault="008E4DBE" w:rsidP="008E4DBE">
      <w:pPr>
        <w:spacing w:after="0"/>
        <w:ind w:firstLine="708"/>
        <w:jc w:val="both"/>
        <w:rPr>
          <w:sz w:val="24"/>
          <w:szCs w:val="24"/>
          <w:lang w:val="en-GB"/>
        </w:rPr>
      </w:pPr>
      <w:r w:rsidRPr="008E4DBE">
        <w:rPr>
          <w:sz w:val="24"/>
          <w:szCs w:val="24"/>
          <w:lang w:val="en-GB"/>
        </w:rPr>
        <w:t>where:</w:t>
      </w:r>
    </w:p>
    <w:p w14:paraId="09FB8AAF" w14:textId="77777777" w:rsidR="008E4DBE" w:rsidRPr="008E4DBE" w:rsidRDefault="008E4DBE" w:rsidP="008E4DBE">
      <w:pPr>
        <w:spacing w:after="0"/>
        <w:ind w:firstLine="708"/>
        <w:jc w:val="both"/>
        <w:rPr>
          <w:sz w:val="24"/>
          <w:szCs w:val="24"/>
          <w:lang w:val="en-GB"/>
        </w:rPr>
      </w:pPr>
      <w:r w:rsidRPr="008E4DBE">
        <w:rPr>
          <w:sz w:val="24"/>
          <w:szCs w:val="24"/>
          <w:lang w:val="en-GB"/>
        </w:rPr>
        <w:t xml:space="preserve">RC = the replacement </w:t>
      </w:r>
      <w:proofErr w:type="gramStart"/>
      <w:r w:rsidRPr="008E4DBE">
        <w:rPr>
          <w:sz w:val="24"/>
          <w:szCs w:val="24"/>
          <w:lang w:val="en-GB"/>
        </w:rPr>
        <w:t>cost;</w:t>
      </w:r>
      <w:proofErr w:type="gramEnd"/>
    </w:p>
    <w:p w14:paraId="44A3A88A" w14:textId="3AC56BCD" w:rsidR="008E4DBE" w:rsidRPr="008E4DBE" w:rsidRDefault="008E4DBE" w:rsidP="008E4DBE">
      <w:pPr>
        <w:spacing w:after="0"/>
        <w:ind w:firstLine="708"/>
        <w:jc w:val="both"/>
        <w:rPr>
          <w:sz w:val="24"/>
          <w:szCs w:val="24"/>
          <w:lang w:val="en-GB"/>
        </w:rPr>
      </w:pPr>
      <w:r w:rsidRPr="008E4DBE">
        <w:rPr>
          <w:sz w:val="24"/>
          <w:szCs w:val="24"/>
          <w:lang w:val="en-GB"/>
        </w:rPr>
        <w:t>TH = the margin threshold applicable to the netting set under</w:t>
      </w:r>
      <w:r w:rsidRPr="00B85E4D">
        <w:rPr>
          <w:sz w:val="24"/>
          <w:szCs w:val="24"/>
          <w:lang w:val="en-GB"/>
        </w:rPr>
        <w:t xml:space="preserve"> </w:t>
      </w:r>
      <w:r w:rsidRPr="008E4DBE">
        <w:rPr>
          <w:sz w:val="24"/>
          <w:szCs w:val="24"/>
          <w:lang w:val="en-GB"/>
        </w:rPr>
        <w:t xml:space="preserve">the margin agreement below which the </w:t>
      </w:r>
      <w:r w:rsidR="00865CE4" w:rsidRPr="00B85E4D">
        <w:rPr>
          <w:sz w:val="24"/>
          <w:szCs w:val="24"/>
          <w:lang w:val="en-GB"/>
        </w:rPr>
        <w:t>bank</w:t>
      </w:r>
      <w:r w:rsidRPr="008E4DBE">
        <w:rPr>
          <w:sz w:val="24"/>
          <w:szCs w:val="24"/>
          <w:lang w:val="en-GB"/>
        </w:rPr>
        <w:t xml:space="preserve"> cannot</w:t>
      </w:r>
      <w:r w:rsidRPr="00B85E4D">
        <w:rPr>
          <w:sz w:val="24"/>
          <w:szCs w:val="24"/>
          <w:lang w:val="en-GB"/>
        </w:rPr>
        <w:t xml:space="preserve"> </w:t>
      </w:r>
      <w:r w:rsidRPr="008E4DBE">
        <w:rPr>
          <w:sz w:val="24"/>
          <w:szCs w:val="24"/>
          <w:lang w:val="en-GB"/>
        </w:rPr>
        <w:t>call for collateral; and</w:t>
      </w:r>
    </w:p>
    <w:p w14:paraId="02B15573" w14:textId="5DBD06FB" w:rsidR="008E4DBE" w:rsidRPr="008E4DBE" w:rsidRDefault="008E4DBE" w:rsidP="008E4DBE">
      <w:pPr>
        <w:spacing w:after="0"/>
        <w:ind w:firstLine="708"/>
        <w:jc w:val="both"/>
        <w:rPr>
          <w:sz w:val="24"/>
          <w:szCs w:val="24"/>
          <w:lang w:val="en-GB"/>
        </w:rPr>
      </w:pPr>
      <w:r w:rsidRPr="008E4DBE">
        <w:rPr>
          <w:sz w:val="24"/>
          <w:szCs w:val="24"/>
          <w:lang w:val="en-GB"/>
        </w:rPr>
        <w:t>MTA = the minimum transfer amount applicable to the netting set</w:t>
      </w:r>
      <w:r w:rsidRPr="00B85E4D">
        <w:rPr>
          <w:sz w:val="24"/>
          <w:szCs w:val="24"/>
          <w:lang w:val="en-GB"/>
        </w:rPr>
        <w:t xml:space="preserve"> </w:t>
      </w:r>
      <w:r w:rsidRPr="008E4DBE">
        <w:rPr>
          <w:sz w:val="24"/>
          <w:szCs w:val="24"/>
          <w:lang w:val="en-GB"/>
        </w:rPr>
        <w:t xml:space="preserve">under the margin </w:t>
      </w:r>
      <w:proofErr w:type="gramStart"/>
      <w:r w:rsidRPr="008E4DBE">
        <w:rPr>
          <w:sz w:val="24"/>
          <w:szCs w:val="24"/>
          <w:lang w:val="en-GB"/>
        </w:rPr>
        <w:t>agreement;</w:t>
      </w:r>
      <w:proofErr w:type="gramEnd"/>
    </w:p>
    <w:p w14:paraId="4A2688ED" w14:textId="557376CF" w:rsidR="008E4DBE" w:rsidRPr="00B85E4D" w:rsidRDefault="008E4DBE" w:rsidP="008E4DBE">
      <w:pPr>
        <w:spacing w:after="0"/>
        <w:ind w:firstLine="708"/>
        <w:jc w:val="both"/>
        <w:rPr>
          <w:sz w:val="24"/>
          <w:szCs w:val="24"/>
          <w:lang w:val="en-GB"/>
        </w:rPr>
      </w:pPr>
      <w:r w:rsidRPr="00B85E4D">
        <w:rPr>
          <w:sz w:val="24"/>
          <w:szCs w:val="24"/>
          <w:lang w:val="en-GB"/>
        </w:rPr>
        <w:t>103.2.</w:t>
      </w:r>
      <w:r w:rsidRPr="008E4DBE">
        <w:rPr>
          <w:sz w:val="24"/>
          <w:szCs w:val="24"/>
          <w:lang w:val="en-GB"/>
        </w:rPr>
        <w:t xml:space="preserve"> for all other netting sets or individual transactions, </w:t>
      </w:r>
      <w:r w:rsidR="00865CE4" w:rsidRPr="00B85E4D">
        <w:rPr>
          <w:sz w:val="24"/>
          <w:szCs w:val="24"/>
          <w:lang w:val="en-GB"/>
        </w:rPr>
        <w:t>banks</w:t>
      </w:r>
      <w:r w:rsidRPr="008E4DBE">
        <w:rPr>
          <w:sz w:val="24"/>
          <w:szCs w:val="24"/>
          <w:lang w:val="en-GB"/>
        </w:rPr>
        <w:t xml:space="preserve"> shall</w:t>
      </w:r>
      <w:r w:rsidRPr="00B85E4D">
        <w:rPr>
          <w:sz w:val="24"/>
          <w:szCs w:val="24"/>
          <w:lang w:val="en-GB"/>
        </w:rPr>
        <w:t xml:space="preserve"> use the following formula:</w:t>
      </w:r>
    </w:p>
    <w:p w14:paraId="3DD05C1D" w14:textId="77777777" w:rsidR="008E4DBE" w:rsidRPr="00B85E4D" w:rsidRDefault="008E4DBE" w:rsidP="008E4DBE">
      <w:pPr>
        <w:spacing w:after="0"/>
        <w:jc w:val="center"/>
        <w:rPr>
          <w:rFonts w:eastAsia="Times New Roman" w:cs="Times New Roman"/>
          <w:sz w:val="24"/>
          <w:szCs w:val="24"/>
          <w:lang w:val="en-GB" w:eastAsia="ro-MD"/>
        </w:rPr>
      </w:pPr>
      <w:r w:rsidRPr="00B85E4D">
        <w:rPr>
          <w:rFonts w:eastAsia="Times New Roman" w:cs="Times New Roman"/>
          <w:sz w:val="24"/>
          <w:szCs w:val="24"/>
          <w:lang w:val="en-GB" w:eastAsia="ro-MD"/>
        </w:rPr>
        <w:t xml:space="preserve">RC = </w:t>
      </w:r>
      <w:proofErr w:type="gramStart"/>
      <w:r w:rsidRPr="00B85E4D">
        <w:rPr>
          <w:rFonts w:eastAsia="Times New Roman" w:cs="Times New Roman"/>
          <w:sz w:val="24"/>
          <w:szCs w:val="24"/>
          <w:lang w:val="en-GB" w:eastAsia="ro-MD"/>
        </w:rPr>
        <w:t>max{</w:t>
      </w:r>
      <w:proofErr w:type="gramEnd"/>
      <w:r w:rsidRPr="00B85E4D">
        <w:rPr>
          <w:rFonts w:eastAsia="Times New Roman" w:cs="Times New Roman"/>
          <w:sz w:val="24"/>
          <w:szCs w:val="24"/>
          <w:lang w:val="en-GB" w:eastAsia="ro-MD"/>
        </w:rPr>
        <w:t>CMV, 0}</w:t>
      </w:r>
    </w:p>
    <w:p w14:paraId="5B7A8E4F" w14:textId="77777777" w:rsidR="004B7FF1" w:rsidRPr="00B85E4D" w:rsidRDefault="004B7FF1" w:rsidP="008E4DBE">
      <w:pPr>
        <w:spacing w:after="0"/>
        <w:ind w:firstLine="708"/>
        <w:jc w:val="both"/>
        <w:rPr>
          <w:sz w:val="24"/>
          <w:szCs w:val="24"/>
          <w:lang w:val="en-GB"/>
        </w:rPr>
      </w:pPr>
      <w:r w:rsidRPr="00B85E4D">
        <w:rPr>
          <w:sz w:val="24"/>
          <w:szCs w:val="24"/>
          <w:lang w:val="en-GB"/>
        </w:rPr>
        <w:lastRenderedPageBreak/>
        <w:t xml:space="preserve">where: </w:t>
      </w:r>
    </w:p>
    <w:p w14:paraId="5DB908C2" w14:textId="77777777" w:rsidR="004B7FF1" w:rsidRPr="00B85E4D" w:rsidRDefault="004B7FF1" w:rsidP="008E4DBE">
      <w:pPr>
        <w:spacing w:after="0"/>
        <w:ind w:firstLine="708"/>
        <w:jc w:val="both"/>
        <w:rPr>
          <w:sz w:val="24"/>
          <w:szCs w:val="24"/>
          <w:lang w:val="en-GB"/>
        </w:rPr>
      </w:pPr>
      <w:r w:rsidRPr="00B85E4D">
        <w:rPr>
          <w:sz w:val="24"/>
          <w:szCs w:val="24"/>
          <w:lang w:val="en-GB"/>
        </w:rPr>
        <w:t xml:space="preserve">RC = the replacement cost; and </w:t>
      </w:r>
    </w:p>
    <w:p w14:paraId="6022A434" w14:textId="77777777" w:rsidR="004B7FF1" w:rsidRPr="00B85E4D" w:rsidRDefault="004B7FF1" w:rsidP="008E4DBE">
      <w:pPr>
        <w:spacing w:after="0"/>
        <w:ind w:firstLine="708"/>
        <w:jc w:val="both"/>
        <w:rPr>
          <w:sz w:val="24"/>
          <w:szCs w:val="24"/>
          <w:lang w:val="en-GB"/>
        </w:rPr>
      </w:pPr>
      <w:r w:rsidRPr="00B85E4D">
        <w:rPr>
          <w:sz w:val="24"/>
          <w:szCs w:val="24"/>
          <w:lang w:val="en-GB"/>
        </w:rPr>
        <w:t xml:space="preserve">CMV = the current market value. </w:t>
      </w:r>
    </w:p>
    <w:p w14:paraId="586744E8" w14:textId="4B2CD178" w:rsidR="004B7FF1" w:rsidRPr="00B85E4D" w:rsidRDefault="004B7FF1" w:rsidP="008E4DBE">
      <w:pPr>
        <w:spacing w:after="0"/>
        <w:ind w:firstLine="708"/>
        <w:jc w:val="both"/>
        <w:rPr>
          <w:sz w:val="24"/>
          <w:szCs w:val="24"/>
          <w:lang w:val="en-GB"/>
        </w:rPr>
      </w:pPr>
      <w:r w:rsidRPr="00B85E4D">
        <w:rPr>
          <w:sz w:val="24"/>
          <w:szCs w:val="24"/>
          <w:lang w:val="en-GB"/>
        </w:rPr>
        <w:t xml:space="preserve"> </w:t>
      </w:r>
      <w:proofErr w:type="gramStart"/>
      <w:r w:rsidRPr="00B85E4D">
        <w:rPr>
          <w:sz w:val="24"/>
          <w:szCs w:val="24"/>
          <w:lang w:val="en-GB"/>
        </w:rPr>
        <w:t>In order to</w:t>
      </w:r>
      <w:proofErr w:type="gramEnd"/>
      <w:r w:rsidRPr="00B85E4D">
        <w:rPr>
          <w:sz w:val="24"/>
          <w:szCs w:val="24"/>
          <w:lang w:val="en-GB"/>
        </w:rPr>
        <w:t xml:space="preserve"> calculate the current replacement cost, banks shall update current market values at least monthly. </w:t>
      </w:r>
    </w:p>
    <w:p w14:paraId="62B5AF1D" w14:textId="77777777" w:rsidR="004B7FF1" w:rsidRPr="00B85E4D" w:rsidRDefault="004B7FF1" w:rsidP="008E4DBE">
      <w:pPr>
        <w:spacing w:after="0"/>
        <w:ind w:firstLine="708"/>
        <w:jc w:val="both"/>
        <w:rPr>
          <w:sz w:val="24"/>
          <w:szCs w:val="24"/>
          <w:lang w:val="en-GB"/>
        </w:rPr>
      </w:pPr>
      <w:r w:rsidRPr="00B85E4D">
        <w:rPr>
          <w:b/>
          <w:bCs/>
          <w:sz w:val="24"/>
          <w:szCs w:val="24"/>
          <w:lang w:val="en-GB"/>
        </w:rPr>
        <w:t xml:space="preserve">104. </w:t>
      </w:r>
      <w:r w:rsidRPr="00B85E4D">
        <w:rPr>
          <w:sz w:val="24"/>
          <w:szCs w:val="24"/>
          <w:lang w:val="en-GB"/>
        </w:rPr>
        <w:t xml:space="preserve">Banks shall calculate the potential future exposure referred to in paragraph 102 as follows: </w:t>
      </w:r>
    </w:p>
    <w:p w14:paraId="7AE2D0EF" w14:textId="77777777" w:rsidR="004B7FF1" w:rsidRPr="00B85E4D" w:rsidRDefault="004B7FF1" w:rsidP="008E4DBE">
      <w:pPr>
        <w:spacing w:after="0"/>
        <w:ind w:firstLine="708"/>
        <w:jc w:val="both"/>
        <w:rPr>
          <w:sz w:val="24"/>
          <w:szCs w:val="24"/>
          <w:lang w:val="en-GB"/>
        </w:rPr>
      </w:pPr>
      <w:r w:rsidRPr="00B85E4D">
        <w:rPr>
          <w:sz w:val="24"/>
          <w:szCs w:val="24"/>
          <w:lang w:val="en-GB"/>
        </w:rPr>
        <w:t>104.1. the potential future exposure of a netting set is the sum of the potential future exposure of all the transactions included in the netting set, calculated in accordance with paragraph 104.2</w:t>
      </w:r>
      <w:proofErr w:type="gramStart"/>
      <w:r w:rsidRPr="00B85E4D">
        <w:rPr>
          <w:sz w:val="24"/>
          <w:szCs w:val="24"/>
          <w:lang w:val="en-GB"/>
        </w:rPr>
        <w:t>.;</w:t>
      </w:r>
      <w:proofErr w:type="gramEnd"/>
      <w:r w:rsidRPr="00B85E4D">
        <w:rPr>
          <w:sz w:val="24"/>
          <w:szCs w:val="24"/>
          <w:lang w:val="en-GB"/>
        </w:rPr>
        <w:t xml:space="preserve"> </w:t>
      </w:r>
    </w:p>
    <w:p w14:paraId="23EDF9B4" w14:textId="77777777" w:rsidR="004B7FF1" w:rsidRPr="00B85E4D" w:rsidRDefault="004B7FF1" w:rsidP="008E4DBE">
      <w:pPr>
        <w:spacing w:after="0"/>
        <w:ind w:firstLine="708"/>
        <w:jc w:val="both"/>
        <w:rPr>
          <w:sz w:val="24"/>
          <w:szCs w:val="24"/>
          <w:lang w:val="en-GB"/>
        </w:rPr>
      </w:pPr>
      <w:r w:rsidRPr="00B85E4D">
        <w:rPr>
          <w:sz w:val="24"/>
          <w:szCs w:val="24"/>
          <w:lang w:val="en-GB"/>
        </w:rPr>
        <w:t xml:space="preserve">104.2.the potential future exposure of a single transaction is its notional amount multiplied by: </w:t>
      </w:r>
    </w:p>
    <w:p w14:paraId="1C77DFC5" w14:textId="273875B5" w:rsidR="008E4DBE" w:rsidRPr="00B85E4D" w:rsidRDefault="004B7FF1" w:rsidP="008E4DBE">
      <w:pPr>
        <w:spacing w:after="0"/>
        <w:ind w:firstLine="708"/>
        <w:jc w:val="both"/>
        <w:rPr>
          <w:sz w:val="24"/>
          <w:szCs w:val="24"/>
          <w:lang w:val="en-GB"/>
        </w:rPr>
      </w:pPr>
      <w:r w:rsidRPr="00B85E4D">
        <w:rPr>
          <w:sz w:val="24"/>
          <w:szCs w:val="24"/>
          <w:lang w:val="en-GB"/>
        </w:rPr>
        <w:t xml:space="preserve">104.2.1. the product of 0,5 % and the residual maturity of the transaction expressed in years for interest-rate derivative </w:t>
      </w:r>
      <w:proofErr w:type="gramStart"/>
      <w:r w:rsidRPr="00B85E4D">
        <w:rPr>
          <w:sz w:val="24"/>
          <w:szCs w:val="24"/>
          <w:lang w:val="en-GB"/>
        </w:rPr>
        <w:t>contracts;</w:t>
      </w:r>
      <w:proofErr w:type="gramEnd"/>
    </w:p>
    <w:p w14:paraId="3C5C6F1D" w14:textId="77777777" w:rsidR="004B7FF1" w:rsidRPr="00B85E4D" w:rsidRDefault="004B7FF1" w:rsidP="008E4DBE">
      <w:pPr>
        <w:spacing w:after="0"/>
        <w:ind w:firstLine="708"/>
        <w:jc w:val="both"/>
        <w:rPr>
          <w:sz w:val="24"/>
          <w:szCs w:val="24"/>
          <w:lang w:val="en-GB"/>
        </w:rPr>
      </w:pPr>
      <w:r w:rsidRPr="00B85E4D">
        <w:rPr>
          <w:sz w:val="24"/>
          <w:szCs w:val="24"/>
          <w:lang w:val="en-GB"/>
        </w:rPr>
        <w:t xml:space="preserve">104.2.2. the product of 6 % and the residual maturity of the transaction expressed in years for credit derivative </w:t>
      </w:r>
      <w:proofErr w:type="gramStart"/>
      <w:r w:rsidRPr="00B85E4D">
        <w:rPr>
          <w:sz w:val="24"/>
          <w:szCs w:val="24"/>
          <w:lang w:val="en-GB"/>
        </w:rPr>
        <w:t>contracts;</w:t>
      </w:r>
      <w:proofErr w:type="gramEnd"/>
      <w:r w:rsidRPr="00B85E4D">
        <w:rPr>
          <w:sz w:val="24"/>
          <w:szCs w:val="24"/>
          <w:lang w:val="en-GB"/>
        </w:rPr>
        <w:t xml:space="preserve"> </w:t>
      </w:r>
    </w:p>
    <w:p w14:paraId="6FE02F46" w14:textId="77777777" w:rsidR="004B7FF1" w:rsidRPr="00B85E4D" w:rsidRDefault="004B7FF1" w:rsidP="008E4DBE">
      <w:pPr>
        <w:spacing w:after="0"/>
        <w:ind w:firstLine="708"/>
        <w:jc w:val="both"/>
        <w:rPr>
          <w:sz w:val="24"/>
          <w:szCs w:val="24"/>
          <w:lang w:val="en-GB"/>
        </w:rPr>
      </w:pPr>
      <w:r w:rsidRPr="00B85E4D">
        <w:rPr>
          <w:sz w:val="24"/>
          <w:szCs w:val="24"/>
          <w:lang w:val="en-GB"/>
        </w:rPr>
        <w:t xml:space="preserve">104.2.3. 4 % for </w:t>
      </w:r>
      <w:proofErr w:type="gramStart"/>
      <w:r w:rsidRPr="00B85E4D">
        <w:rPr>
          <w:sz w:val="24"/>
          <w:szCs w:val="24"/>
          <w:lang w:val="en-GB"/>
        </w:rPr>
        <w:t>foreign-exchange</w:t>
      </w:r>
      <w:proofErr w:type="gramEnd"/>
      <w:r w:rsidRPr="00B85E4D">
        <w:rPr>
          <w:sz w:val="24"/>
          <w:szCs w:val="24"/>
          <w:lang w:val="en-GB"/>
        </w:rPr>
        <w:t xml:space="preserve"> derivatives; </w:t>
      </w:r>
    </w:p>
    <w:p w14:paraId="5439FDD2" w14:textId="77777777" w:rsidR="004B7FF1" w:rsidRPr="00B85E4D" w:rsidRDefault="004B7FF1" w:rsidP="008E4DBE">
      <w:pPr>
        <w:spacing w:after="0"/>
        <w:ind w:firstLine="708"/>
        <w:jc w:val="both"/>
        <w:rPr>
          <w:sz w:val="24"/>
          <w:szCs w:val="24"/>
          <w:lang w:val="en-GB"/>
        </w:rPr>
      </w:pPr>
      <w:r w:rsidRPr="00B85E4D">
        <w:rPr>
          <w:sz w:val="24"/>
          <w:szCs w:val="24"/>
          <w:lang w:val="en-GB"/>
        </w:rPr>
        <w:t xml:space="preserve">104.2.4. 18 % for gold and commodity derivatives other than electricity </w:t>
      </w:r>
      <w:proofErr w:type="gramStart"/>
      <w:r w:rsidRPr="00B85E4D">
        <w:rPr>
          <w:sz w:val="24"/>
          <w:szCs w:val="24"/>
          <w:lang w:val="en-GB"/>
        </w:rPr>
        <w:t>derivatives;</w:t>
      </w:r>
      <w:proofErr w:type="gramEnd"/>
      <w:r w:rsidRPr="00B85E4D">
        <w:rPr>
          <w:sz w:val="24"/>
          <w:szCs w:val="24"/>
          <w:lang w:val="en-GB"/>
        </w:rPr>
        <w:t xml:space="preserve"> </w:t>
      </w:r>
    </w:p>
    <w:p w14:paraId="39D90B8B" w14:textId="77777777" w:rsidR="004B7FF1" w:rsidRPr="00B85E4D" w:rsidRDefault="004B7FF1" w:rsidP="008E4DBE">
      <w:pPr>
        <w:spacing w:after="0"/>
        <w:ind w:firstLine="708"/>
        <w:jc w:val="both"/>
        <w:rPr>
          <w:sz w:val="24"/>
          <w:szCs w:val="24"/>
          <w:lang w:val="en-GB"/>
        </w:rPr>
      </w:pPr>
      <w:r w:rsidRPr="00B85E4D">
        <w:rPr>
          <w:sz w:val="24"/>
          <w:szCs w:val="24"/>
          <w:lang w:val="en-GB"/>
        </w:rPr>
        <w:t xml:space="preserve">104.2.5. 40 % for electricity </w:t>
      </w:r>
      <w:proofErr w:type="gramStart"/>
      <w:r w:rsidRPr="00B85E4D">
        <w:rPr>
          <w:sz w:val="24"/>
          <w:szCs w:val="24"/>
          <w:lang w:val="en-GB"/>
        </w:rPr>
        <w:t>derivatives;</w:t>
      </w:r>
      <w:proofErr w:type="gramEnd"/>
      <w:r w:rsidRPr="00B85E4D">
        <w:rPr>
          <w:sz w:val="24"/>
          <w:szCs w:val="24"/>
          <w:lang w:val="en-GB"/>
        </w:rPr>
        <w:t xml:space="preserve"> </w:t>
      </w:r>
    </w:p>
    <w:p w14:paraId="1CB1520E" w14:textId="4FD2780F" w:rsidR="004B7FF1" w:rsidRPr="00B85E4D" w:rsidRDefault="004B7FF1" w:rsidP="008E4DBE">
      <w:pPr>
        <w:spacing w:after="0"/>
        <w:ind w:firstLine="708"/>
        <w:jc w:val="both"/>
        <w:rPr>
          <w:sz w:val="24"/>
          <w:szCs w:val="24"/>
          <w:lang w:val="en-GB"/>
        </w:rPr>
      </w:pPr>
      <w:r w:rsidRPr="00B85E4D">
        <w:rPr>
          <w:sz w:val="24"/>
          <w:szCs w:val="24"/>
          <w:lang w:val="en-GB"/>
        </w:rPr>
        <w:t xml:space="preserve">104.2.6. 32 % for equity </w:t>
      </w:r>
      <w:proofErr w:type="gramStart"/>
      <w:r w:rsidRPr="00B85E4D">
        <w:rPr>
          <w:sz w:val="24"/>
          <w:szCs w:val="24"/>
          <w:lang w:val="en-GB"/>
        </w:rPr>
        <w:t>derivatives;</w:t>
      </w:r>
      <w:proofErr w:type="gramEnd"/>
    </w:p>
    <w:p w14:paraId="1D7283B7" w14:textId="77777777" w:rsidR="004B7FF1" w:rsidRPr="00B85E4D" w:rsidRDefault="004B7FF1" w:rsidP="004B7FF1">
      <w:pPr>
        <w:spacing w:after="0"/>
        <w:jc w:val="both"/>
        <w:rPr>
          <w:sz w:val="24"/>
          <w:szCs w:val="24"/>
          <w:lang w:val="en-GB"/>
        </w:rPr>
      </w:pPr>
    </w:p>
    <w:p w14:paraId="59B623D5" w14:textId="7CF2DD48" w:rsidR="004B7FF1" w:rsidRPr="00B85E4D" w:rsidRDefault="004B7FF1" w:rsidP="004B7FF1">
      <w:pPr>
        <w:spacing w:after="0"/>
        <w:ind w:firstLine="708"/>
        <w:jc w:val="both"/>
        <w:rPr>
          <w:sz w:val="24"/>
          <w:szCs w:val="24"/>
          <w:lang w:val="en-GB"/>
        </w:rPr>
      </w:pPr>
      <w:r w:rsidRPr="00B85E4D">
        <w:rPr>
          <w:b/>
          <w:bCs/>
          <w:sz w:val="24"/>
          <w:szCs w:val="24"/>
          <w:lang w:val="en-GB"/>
        </w:rPr>
        <w:t>104.3.</w:t>
      </w:r>
      <w:r w:rsidRPr="00B85E4D">
        <w:rPr>
          <w:sz w:val="24"/>
          <w:szCs w:val="24"/>
          <w:lang w:val="en-GB"/>
        </w:rPr>
        <w:t xml:space="preserve"> the notional amount referred to in </w:t>
      </w:r>
      <w:r w:rsidR="006E0789" w:rsidRPr="00B85E4D">
        <w:rPr>
          <w:sz w:val="24"/>
          <w:szCs w:val="24"/>
          <w:lang w:val="en-GB"/>
        </w:rPr>
        <w:t>subparagraph</w:t>
      </w:r>
      <w:r w:rsidRPr="00B85E4D">
        <w:rPr>
          <w:sz w:val="24"/>
          <w:szCs w:val="24"/>
          <w:lang w:val="en-GB"/>
        </w:rPr>
        <w:t xml:space="preserve"> 104.2. shall be determined in accordance with paragraphs 73 and 74 for all derivatives listed in that point; in addition, the notional amount of the derivatives referred to subparagraphs 104.2.3.-104.2.6. shall be determined in accordance with paragraphs 72, subparagraphs 72.2. and 72.3</w:t>
      </w:r>
      <w:proofErr w:type="gramStart"/>
      <w:r w:rsidRPr="00B85E4D">
        <w:rPr>
          <w:sz w:val="24"/>
          <w:szCs w:val="24"/>
          <w:lang w:val="en-GB"/>
        </w:rPr>
        <w:t>.;</w:t>
      </w:r>
      <w:proofErr w:type="gramEnd"/>
      <w:r w:rsidRPr="00B85E4D">
        <w:rPr>
          <w:sz w:val="24"/>
          <w:szCs w:val="24"/>
          <w:lang w:val="en-GB"/>
        </w:rPr>
        <w:t xml:space="preserve"> </w:t>
      </w:r>
    </w:p>
    <w:p w14:paraId="01EDD9A2" w14:textId="24E95CEB" w:rsidR="004B7FF1" w:rsidRPr="00B85E4D" w:rsidRDefault="004B7FF1" w:rsidP="004B7FF1">
      <w:pPr>
        <w:spacing w:after="0"/>
        <w:ind w:firstLine="708"/>
        <w:jc w:val="both"/>
        <w:rPr>
          <w:sz w:val="24"/>
          <w:szCs w:val="24"/>
          <w:lang w:val="en-GB"/>
        </w:rPr>
      </w:pPr>
      <w:r w:rsidRPr="00B85E4D">
        <w:rPr>
          <w:sz w:val="24"/>
          <w:szCs w:val="24"/>
          <w:lang w:val="en-GB"/>
        </w:rPr>
        <w:t xml:space="preserve">104.4. the potential future exposure of netting sets referred to in paragraph 103, </w:t>
      </w:r>
      <w:r w:rsidR="004C522D" w:rsidRPr="00B85E4D">
        <w:rPr>
          <w:sz w:val="24"/>
          <w:szCs w:val="24"/>
          <w:lang w:val="en-GB"/>
        </w:rPr>
        <w:t>subparagraphs</w:t>
      </w:r>
      <w:r w:rsidRPr="00B85E4D">
        <w:rPr>
          <w:sz w:val="24"/>
          <w:szCs w:val="24"/>
          <w:lang w:val="en-GB"/>
        </w:rPr>
        <w:t xml:space="preserve"> 103.1 and shall be multiplied by 0,42. </w:t>
      </w:r>
    </w:p>
    <w:p w14:paraId="43C359D3" w14:textId="3043023C" w:rsidR="004B7FF1" w:rsidRPr="00B85E4D" w:rsidRDefault="004B7FF1" w:rsidP="004B7FF1">
      <w:pPr>
        <w:spacing w:after="0"/>
        <w:ind w:firstLine="708"/>
        <w:jc w:val="both"/>
        <w:rPr>
          <w:sz w:val="24"/>
          <w:szCs w:val="24"/>
          <w:lang w:val="en-GB"/>
        </w:rPr>
      </w:pPr>
      <w:r w:rsidRPr="00B85E4D">
        <w:rPr>
          <w:b/>
          <w:bCs/>
          <w:sz w:val="24"/>
          <w:szCs w:val="24"/>
          <w:lang w:val="en-GB"/>
        </w:rPr>
        <w:t>105.</w:t>
      </w:r>
      <w:r w:rsidRPr="00B85E4D">
        <w:rPr>
          <w:sz w:val="24"/>
          <w:szCs w:val="24"/>
          <w:lang w:val="en-GB"/>
        </w:rPr>
        <w:t xml:space="preserve"> For calculating the potential exposure of interest-rate derivatives and credit derivatives in accordance with subparagraphs 104.2.1. and 104.2.2., a bank may choose to use the original maturity instead of the residual maturity of the contracts.</w:t>
      </w:r>
    </w:p>
    <w:p w14:paraId="561EBC17" w14:textId="77777777" w:rsidR="008E4DBE" w:rsidRPr="00B85E4D" w:rsidRDefault="008E4DBE" w:rsidP="00B578C7">
      <w:pPr>
        <w:spacing w:after="0"/>
        <w:jc w:val="center"/>
        <w:rPr>
          <w:b/>
          <w:bCs/>
          <w:lang w:val="en-GB"/>
        </w:rPr>
      </w:pPr>
    </w:p>
    <w:p w14:paraId="065D05DE" w14:textId="708269B8" w:rsidR="00B578C7" w:rsidRPr="002A0EA4" w:rsidRDefault="00B578C7" w:rsidP="00B578C7">
      <w:pPr>
        <w:spacing w:after="0"/>
        <w:jc w:val="center"/>
        <w:rPr>
          <w:b/>
          <w:bCs/>
          <w:sz w:val="24"/>
          <w:szCs w:val="24"/>
          <w:lang w:val="en-GB"/>
        </w:rPr>
      </w:pPr>
      <w:r w:rsidRPr="002A0EA4">
        <w:rPr>
          <w:b/>
          <w:bCs/>
          <w:sz w:val="24"/>
          <w:szCs w:val="24"/>
          <w:lang w:val="en-GB"/>
        </w:rPr>
        <w:t>Chapter VI</w:t>
      </w:r>
    </w:p>
    <w:p w14:paraId="4A42D0AF" w14:textId="1C2B1C25" w:rsidR="00B578C7" w:rsidRPr="002A0EA4" w:rsidRDefault="00B578C7" w:rsidP="00B578C7">
      <w:pPr>
        <w:tabs>
          <w:tab w:val="left" w:pos="518"/>
        </w:tabs>
        <w:spacing w:after="0"/>
        <w:jc w:val="center"/>
        <w:rPr>
          <w:b/>
          <w:bCs/>
          <w:sz w:val="24"/>
          <w:szCs w:val="24"/>
          <w:lang w:val="en-GB"/>
        </w:rPr>
      </w:pPr>
      <w:r w:rsidRPr="002A0EA4">
        <w:rPr>
          <w:b/>
          <w:bCs/>
          <w:sz w:val="24"/>
          <w:szCs w:val="24"/>
          <w:lang w:val="en-GB"/>
        </w:rPr>
        <w:t>Contractual Netting</w:t>
      </w:r>
    </w:p>
    <w:p w14:paraId="0113B006" w14:textId="77777777" w:rsidR="006E0789" w:rsidRPr="00B85E4D" w:rsidRDefault="006E0789" w:rsidP="00B578C7">
      <w:pPr>
        <w:tabs>
          <w:tab w:val="left" w:pos="518"/>
        </w:tabs>
        <w:spacing w:after="0"/>
        <w:jc w:val="center"/>
        <w:rPr>
          <w:b/>
          <w:bCs/>
          <w:lang w:val="en-GB"/>
        </w:rPr>
      </w:pPr>
    </w:p>
    <w:p w14:paraId="7054F78E" w14:textId="07F5CFD8" w:rsidR="00B578C7" w:rsidRPr="002A0EA4" w:rsidRDefault="00B578C7" w:rsidP="00B578C7">
      <w:pPr>
        <w:tabs>
          <w:tab w:val="left" w:pos="518"/>
        </w:tabs>
        <w:spacing w:after="0"/>
        <w:jc w:val="center"/>
        <w:rPr>
          <w:i/>
          <w:iCs/>
          <w:sz w:val="24"/>
          <w:szCs w:val="24"/>
          <w:lang w:val="en-GB"/>
        </w:rPr>
      </w:pPr>
      <w:r w:rsidRPr="002A0EA4">
        <w:rPr>
          <w:i/>
          <w:iCs/>
          <w:sz w:val="24"/>
          <w:szCs w:val="24"/>
          <w:lang w:val="en-GB"/>
        </w:rPr>
        <w:t xml:space="preserve">Section </w:t>
      </w:r>
      <w:r w:rsidR="004B7FF1" w:rsidRPr="002A0EA4">
        <w:rPr>
          <w:i/>
          <w:iCs/>
          <w:sz w:val="24"/>
          <w:szCs w:val="24"/>
          <w:lang w:val="en-GB"/>
        </w:rPr>
        <w:t>1</w:t>
      </w:r>
    </w:p>
    <w:p w14:paraId="004CA2AB" w14:textId="06A9F77A" w:rsidR="00B578C7" w:rsidRPr="002A0EA4" w:rsidRDefault="00B578C7" w:rsidP="00B578C7">
      <w:pPr>
        <w:tabs>
          <w:tab w:val="left" w:pos="518"/>
        </w:tabs>
        <w:spacing w:after="0"/>
        <w:jc w:val="center"/>
        <w:rPr>
          <w:sz w:val="24"/>
          <w:szCs w:val="24"/>
          <w:lang w:val="en-GB"/>
        </w:rPr>
      </w:pPr>
      <w:r w:rsidRPr="002A0EA4">
        <w:rPr>
          <w:b/>
          <w:bCs/>
          <w:sz w:val="24"/>
          <w:szCs w:val="24"/>
          <w:lang w:val="en-GB"/>
        </w:rPr>
        <w:t xml:space="preserve"> Recognition of contractual netting as risk-reducing</w:t>
      </w:r>
    </w:p>
    <w:p w14:paraId="36F223E8" w14:textId="6A499EBB" w:rsidR="00B578C7" w:rsidRPr="00B85E4D" w:rsidRDefault="00B578C7"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106.</w:t>
      </w:r>
      <w:r w:rsidRPr="00B85E4D">
        <w:rPr>
          <w:sz w:val="24"/>
          <w:szCs w:val="24"/>
          <w:lang w:val="en-GB"/>
        </w:rPr>
        <w:t xml:space="preserve"> Ba</w:t>
      </w:r>
      <w:r w:rsidR="004C522D">
        <w:rPr>
          <w:sz w:val="24"/>
          <w:szCs w:val="24"/>
          <w:lang w:val="en-GB"/>
        </w:rPr>
        <w:t>n</w:t>
      </w:r>
      <w:r w:rsidRPr="00B85E4D">
        <w:rPr>
          <w:sz w:val="24"/>
          <w:szCs w:val="24"/>
          <w:lang w:val="en-GB"/>
        </w:rPr>
        <w:t>ks may treat as risk reducing in accordance with paragraph 117 only the following types of contractual netting agreements where the netting agreement has been recognised by the National Bank of Moldova in accordance with paragraphs 108-111 and where the bank meets the requirements set out in paragraphs 112-116:</w:t>
      </w:r>
    </w:p>
    <w:p w14:paraId="09CEDADB" w14:textId="21AC1DE2" w:rsidR="00B578C7" w:rsidRPr="00B85E4D" w:rsidRDefault="00B578C7" w:rsidP="00B578C7">
      <w:pPr>
        <w:tabs>
          <w:tab w:val="left" w:pos="518"/>
        </w:tabs>
        <w:spacing w:after="0"/>
        <w:jc w:val="both"/>
        <w:rPr>
          <w:sz w:val="24"/>
          <w:szCs w:val="24"/>
          <w:lang w:val="en-GB"/>
        </w:rPr>
      </w:pPr>
      <w:r w:rsidRPr="00B85E4D">
        <w:rPr>
          <w:sz w:val="24"/>
          <w:szCs w:val="24"/>
          <w:lang w:val="en-GB"/>
        </w:rPr>
        <w:tab/>
        <w:t xml:space="preserve">106.1. bilateral contracts for novation between </w:t>
      </w:r>
      <w:r w:rsidR="004B7FF1" w:rsidRPr="00B85E4D">
        <w:rPr>
          <w:sz w:val="24"/>
          <w:szCs w:val="24"/>
          <w:lang w:val="en-GB"/>
        </w:rPr>
        <w:t>a bank</w:t>
      </w:r>
      <w:r w:rsidRPr="00B85E4D">
        <w:rPr>
          <w:sz w:val="24"/>
          <w:szCs w:val="24"/>
          <w:lang w:val="en-GB"/>
        </w:rPr>
        <w:t xml:space="preserve"> and its counterparty under which mutual claims and obligations are automatically amalgamated in such a way that the novation fixes one single net amount each time it applies so as to create a single new contract that replaces all former contracts and all obligations between parties pursuant to those contracts and is binding on the </w:t>
      </w:r>
      <w:proofErr w:type="gramStart"/>
      <w:r w:rsidRPr="00B85E4D">
        <w:rPr>
          <w:sz w:val="24"/>
          <w:szCs w:val="24"/>
          <w:lang w:val="en-GB"/>
        </w:rPr>
        <w:t>parties;</w:t>
      </w:r>
      <w:proofErr w:type="gramEnd"/>
      <w:r w:rsidRPr="00B85E4D">
        <w:rPr>
          <w:sz w:val="24"/>
          <w:szCs w:val="24"/>
          <w:lang w:val="en-GB"/>
        </w:rPr>
        <w:t xml:space="preserve"> </w:t>
      </w:r>
    </w:p>
    <w:p w14:paraId="5DD3BB65" w14:textId="63EF57BF" w:rsidR="00B578C7" w:rsidRPr="00B85E4D" w:rsidRDefault="00B578C7" w:rsidP="00B578C7">
      <w:pPr>
        <w:tabs>
          <w:tab w:val="left" w:pos="518"/>
        </w:tabs>
        <w:spacing w:after="0"/>
        <w:jc w:val="both"/>
        <w:rPr>
          <w:sz w:val="24"/>
          <w:szCs w:val="24"/>
          <w:lang w:val="en-GB"/>
        </w:rPr>
      </w:pPr>
      <w:r w:rsidRPr="00B85E4D">
        <w:rPr>
          <w:sz w:val="24"/>
          <w:szCs w:val="24"/>
          <w:lang w:val="en-GB"/>
        </w:rPr>
        <w:tab/>
        <w:t xml:space="preserve">106.2.2 other bilateral agreements (than those indicated in subparagraph 106.1.) between a bank and its </w:t>
      </w:r>
      <w:proofErr w:type="gramStart"/>
      <w:r w:rsidRPr="00B85E4D">
        <w:rPr>
          <w:sz w:val="24"/>
          <w:szCs w:val="24"/>
          <w:lang w:val="en-GB"/>
        </w:rPr>
        <w:t>counterparty;</w:t>
      </w:r>
      <w:proofErr w:type="gramEnd"/>
      <w:r w:rsidRPr="00B85E4D">
        <w:rPr>
          <w:sz w:val="24"/>
          <w:szCs w:val="24"/>
          <w:lang w:val="en-GB"/>
        </w:rPr>
        <w:t xml:space="preserve"> </w:t>
      </w:r>
    </w:p>
    <w:p w14:paraId="049FAEB2" w14:textId="48E12714" w:rsidR="00B578C7" w:rsidRPr="00B85E4D" w:rsidRDefault="00B578C7"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107.</w:t>
      </w:r>
      <w:r w:rsidRPr="00B85E4D">
        <w:rPr>
          <w:sz w:val="24"/>
          <w:szCs w:val="24"/>
          <w:lang w:val="en-GB"/>
        </w:rPr>
        <w:t xml:space="preserve"> Netting across transactions </w:t>
      </w:r>
      <w:proofErr w:type="gramStart"/>
      <w:r w:rsidRPr="00B85E4D">
        <w:rPr>
          <w:sz w:val="24"/>
          <w:szCs w:val="24"/>
          <w:lang w:val="en-GB"/>
        </w:rPr>
        <w:t>entered into</w:t>
      </w:r>
      <w:proofErr w:type="gramEnd"/>
      <w:r w:rsidRPr="00B85E4D">
        <w:rPr>
          <w:sz w:val="24"/>
          <w:szCs w:val="24"/>
          <w:lang w:val="en-GB"/>
        </w:rPr>
        <w:t xml:space="preserve"> by different legal entities of a group shall not be recognised for the purposes of calculating the own funds requirements</w:t>
      </w:r>
    </w:p>
    <w:p w14:paraId="2E74C67A" w14:textId="77777777" w:rsidR="00B578C7" w:rsidRPr="00B85E4D" w:rsidRDefault="00B578C7" w:rsidP="00B578C7">
      <w:pPr>
        <w:tabs>
          <w:tab w:val="left" w:pos="518"/>
        </w:tabs>
        <w:spacing w:after="0"/>
        <w:jc w:val="both"/>
        <w:rPr>
          <w:sz w:val="24"/>
          <w:szCs w:val="24"/>
          <w:lang w:val="en-GB"/>
        </w:rPr>
      </w:pPr>
    </w:p>
    <w:p w14:paraId="06AC2045" w14:textId="77777777" w:rsidR="00B578C7" w:rsidRPr="00104A82" w:rsidRDefault="00B578C7" w:rsidP="00B578C7">
      <w:pPr>
        <w:tabs>
          <w:tab w:val="left" w:pos="518"/>
        </w:tabs>
        <w:spacing w:after="0"/>
        <w:jc w:val="center"/>
        <w:rPr>
          <w:i/>
          <w:iCs/>
          <w:sz w:val="24"/>
          <w:szCs w:val="24"/>
          <w:lang w:val="en-GB"/>
        </w:rPr>
      </w:pPr>
      <w:r w:rsidRPr="00104A82">
        <w:rPr>
          <w:i/>
          <w:iCs/>
          <w:sz w:val="24"/>
          <w:szCs w:val="24"/>
          <w:lang w:val="en-GB"/>
        </w:rPr>
        <w:t>Section 2</w:t>
      </w:r>
    </w:p>
    <w:p w14:paraId="3AD0FE1A" w14:textId="7EB0EC54" w:rsidR="00B578C7" w:rsidRPr="00104A82" w:rsidRDefault="00B578C7" w:rsidP="00B578C7">
      <w:pPr>
        <w:tabs>
          <w:tab w:val="left" w:pos="518"/>
        </w:tabs>
        <w:spacing w:after="0"/>
        <w:jc w:val="center"/>
        <w:rPr>
          <w:b/>
          <w:bCs/>
          <w:sz w:val="24"/>
          <w:szCs w:val="24"/>
          <w:lang w:val="en-GB"/>
        </w:rPr>
      </w:pPr>
      <w:r w:rsidRPr="00104A82">
        <w:rPr>
          <w:b/>
          <w:bCs/>
          <w:sz w:val="24"/>
          <w:szCs w:val="24"/>
          <w:lang w:val="en-GB"/>
        </w:rPr>
        <w:lastRenderedPageBreak/>
        <w:t>Recognition of contractual netting agreements</w:t>
      </w:r>
    </w:p>
    <w:p w14:paraId="5A953374" w14:textId="493F9395" w:rsidR="00B578C7" w:rsidRPr="00B85E4D" w:rsidRDefault="00B578C7"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108.</w:t>
      </w:r>
      <w:r w:rsidRPr="00B85E4D">
        <w:rPr>
          <w:sz w:val="24"/>
          <w:szCs w:val="24"/>
          <w:lang w:val="en-GB"/>
        </w:rPr>
        <w:t xml:space="preserve"> The National Bank of Moldova shall recognise a contractual netting agreement only where the conditions in paragraphs 109 and 110 and, where relevant, 111 are fulfilled. </w:t>
      </w:r>
    </w:p>
    <w:p w14:paraId="2A5CFF80" w14:textId="77777777" w:rsidR="00B578C7" w:rsidRPr="00B85E4D" w:rsidRDefault="00B578C7"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109.</w:t>
      </w:r>
      <w:r w:rsidRPr="00B85E4D">
        <w:rPr>
          <w:sz w:val="24"/>
          <w:szCs w:val="24"/>
          <w:lang w:val="en-GB"/>
        </w:rPr>
        <w:t xml:space="preserve"> The following conditions shall be fulfilled by all contractual netting agreements used by a bank for the purposes of determining exposure value in this Part: </w:t>
      </w:r>
    </w:p>
    <w:p w14:paraId="15CDE8F8" w14:textId="77777777" w:rsidR="00B578C7" w:rsidRPr="00B85E4D" w:rsidRDefault="00B578C7" w:rsidP="00B578C7">
      <w:pPr>
        <w:tabs>
          <w:tab w:val="left" w:pos="518"/>
        </w:tabs>
        <w:spacing w:after="0"/>
        <w:jc w:val="both"/>
        <w:rPr>
          <w:sz w:val="24"/>
          <w:szCs w:val="24"/>
          <w:lang w:val="en-GB"/>
        </w:rPr>
      </w:pPr>
      <w:r w:rsidRPr="00B85E4D">
        <w:rPr>
          <w:sz w:val="24"/>
          <w:szCs w:val="24"/>
          <w:lang w:val="en-GB"/>
        </w:rPr>
        <w:tab/>
        <w:t xml:space="preserve">109.1.1 the bank has concluded a contractual netting agreement with its counterparty which creates a single legal obligation, covering all included transactions, such that, in the event of default by the counterparty it would be entitled to receive or obliged to pay only the net sum of the positive and negative mark-to-market values of included individual </w:t>
      </w:r>
      <w:proofErr w:type="gramStart"/>
      <w:r w:rsidRPr="00B85E4D">
        <w:rPr>
          <w:sz w:val="24"/>
          <w:szCs w:val="24"/>
          <w:lang w:val="en-GB"/>
        </w:rPr>
        <w:t>transactions;</w:t>
      </w:r>
      <w:proofErr w:type="gramEnd"/>
      <w:r w:rsidRPr="00B85E4D">
        <w:rPr>
          <w:sz w:val="24"/>
          <w:szCs w:val="24"/>
          <w:lang w:val="en-GB"/>
        </w:rPr>
        <w:t xml:space="preserve"> </w:t>
      </w:r>
    </w:p>
    <w:p w14:paraId="10456B80" w14:textId="71895171" w:rsidR="00144131" w:rsidRPr="00B85E4D" w:rsidRDefault="00144131" w:rsidP="00B578C7">
      <w:pPr>
        <w:tabs>
          <w:tab w:val="left" w:pos="518"/>
        </w:tabs>
        <w:spacing w:after="0"/>
        <w:jc w:val="both"/>
        <w:rPr>
          <w:sz w:val="24"/>
          <w:szCs w:val="24"/>
          <w:lang w:val="en-GB"/>
        </w:rPr>
      </w:pPr>
      <w:r w:rsidRPr="00B85E4D">
        <w:rPr>
          <w:sz w:val="24"/>
          <w:szCs w:val="24"/>
          <w:lang w:val="en-GB"/>
        </w:rPr>
        <w:tab/>
      </w:r>
      <w:r w:rsidR="00B578C7" w:rsidRPr="00B85E4D">
        <w:rPr>
          <w:sz w:val="24"/>
          <w:szCs w:val="24"/>
          <w:lang w:val="en-GB"/>
        </w:rPr>
        <w:t xml:space="preserve">109.2. the bank has made available to the competent authorities written and reasoned legal opinions to the effect that, in the event of a legal challenge of the netting agreement, the </w:t>
      </w:r>
      <w:r w:rsidR="004B7FF1" w:rsidRPr="00B85E4D">
        <w:rPr>
          <w:sz w:val="24"/>
          <w:szCs w:val="24"/>
          <w:lang w:val="en-GB"/>
        </w:rPr>
        <w:t>bank</w:t>
      </w:r>
      <w:r w:rsidR="00B578C7" w:rsidRPr="00B85E4D">
        <w:rPr>
          <w:sz w:val="24"/>
          <w:szCs w:val="24"/>
          <w:lang w:val="en-GB"/>
        </w:rPr>
        <w:t xml:space="preserve">'s claims and obligations would not exceed those referred to in </w:t>
      </w:r>
      <w:r w:rsidRPr="00B85E4D">
        <w:rPr>
          <w:sz w:val="24"/>
          <w:szCs w:val="24"/>
          <w:lang w:val="en-GB"/>
        </w:rPr>
        <w:t>subparagraph 109.1</w:t>
      </w:r>
      <w:r w:rsidR="00B578C7" w:rsidRPr="00B85E4D">
        <w:rPr>
          <w:sz w:val="24"/>
          <w:szCs w:val="24"/>
          <w:lang w:val="en-GB"/>
        </w:rPr>
        <w:t xml:space="preserve">. The legal opinion shall refer to the applicable law: </w:t>
      </w:r>
    </w:p>
    <w:p w14:paraId="609A791A" w14:textId="2FAB1289" w:rsidR="00144131" w:rsidRPr="00B85E4D" w:rsidRDefault="00144131" w:rsidP="00B578C7">
      <w:pPr>
        <w:tabs>
          <w:tab w:val="left" w:pos="518"/>
        </w:tabs>
        <w:spacing w:after="0"/>
        <w:jc w:val="both"/>
        <w:rPr>
          <w:sz w:val="24"/>
          <w:szCs w:val="24"/>
          <w:lang w:val="en-GB"/>
        </w:rPr>
      </w:pPr>
      <w:r w:rsidRPr="00B85E4D">
        <w:rPr>
          <w:sz w:val="24"/>
          <w:szCs w:val="24"/>
          <w:lang w:val="en-GB"/>
        </w:rPr>
        <w:tab/>
        <w:t>109.2.1.</w:t>
      </w:r>
      <w:r w:rsidR="00B578C7" w:rsidRPr="00B85E4D">
        <w:rPr>
          <w:sz w:val="24"/>
          <w:szCs w:val="24"/>
          <w:lang w:val="en-GB"/>
        </w:rPr>
        <w:t xml:space="preserve"> the jurisdiction in which the counterparty is </w:t>
      </w:r>
      <w:proofErr w:type="gramStart"/>
      <w:r w:rsidR="00B578C7" w:rsidRPr="00B85E4D">
        <w:rPr>
          <w:sz w:val="24"/>
          <w:szCs w:val="24"/>
          <w:lang w:val="en-GB"/>
        </w:rPr>
        <w:t>incorporated</w:t>
      </w:r>
      <w:r w:rsidRPr="00B85E4D">
        <w:rPr>
          <w:sz w:val="24"/>
          <w:szCs w:val="24"/>
          <w:lang w:val="en-GB"/>
        </w:rPr>
        <w:t>;</w:t>
      </w:r>
      <w:proofErr w:type="gramEnd"/>
    </w:p>
    <w:p w14:paraId="5838EFF8" w14:textId="77777777" w:rsidR="00144131" w:rsidRPr="00B85E4D" w:rsidRDefault="00144131" w:rsidP="00B578C7">
      <w:pPr>
        <w:tabs>
          <w:tab w:val="left" w:pos="518"/>
        </w:tabs>
        <w:spacing w:after="0"/>
        <w:jc w:val="both"/>
        <w:rPr>
          <w:sz w:val="24"/>
          <w:szCs w:val="24"/>
          <w:lang w:val="en-GB"/>
        </w:rPr>
      </w:pPr>
      <w:r w:rsidRPr="00B85E4D">
        <w:rPr>
          <w:sz w:val="24"/>
          <w:szCs w:val="24"/>
          <w:lang w:val="en-GB"/>
        </w:rPr>
        <w:tab/>
        <w:t>109.2.2.</w:t>
      </w:r>
      <w:r w:rsidR="00B578C7" w:rsidRPr="00B85E4D">
        <w:rPr>
          <w:sz w:val="24"/>
          <w:szCs w:val="24"/>
          <w:lang w:val="en-GB"/>
        </w:rPr>
        <w:t xml:space="preserve"> if a branch of an undertaking is involved, which is located in a country other than that where the undertaking is incorporated, the jurisdiction in which the branch is </w:t>
      </w:r>
      <w:proofErr w:type="gramStart"/>
      <w:r w:rsidR="00B578C7" w:rsidRPr="00B85E4D">
        <w:rPr>
          <w:sz w:val="24"/>
          <w:szCs w:val="24"/>
          <w:lang w:val="en-GB"/>
        </w:rPr>
        <w:t>located;</w:t>
      </w:r>
      <w:proofErr w:type="gramEnd"/>
      <w:r w:rsidR="00B578C7" w:rsidRPr="00B85E4D">
        <w:rPr>
          <w:sz w:val="24"/>
          <w:szCs w:val="24"/>
          <w:lang w:val="en-GB"/>
        </w:rPr>
        <w:t xml:space="preserve"> </w:t>
      </w:r>
    </w:p>
    <w:p w14:paraId="4EBBDC4A" w14:textId="684ED4E6" w:rsidR="00B578C7" w:rsidRPr="00B85E4D" w:rsidRDefault="00144131" w:rsidP="00B578C7">
      <w:pPr>
        <w:tabs>
          <w:tab w:val="left" w:pos="518"/>
        </w:tabs>
        <w:spacing w:after="0"/>
        <w:jc w:val="both"/>
        <w:rPr>
          <w:sz w:val="24"/>
          <w:szCs w:val="24"/>
          <w:lang w:val="en-GB"/>
        </w:rPr>
      </w:pPr>
      <w:r w:rsidRPr="00B85E4D">
        <w:rPr>
          <w:sz w:val="24"/>
          <w:szCs w:val="24"/>
          <w:lang w:val="en-GB"/>
        </w:rPr>
        <w:tab/>
        <w:t xml:space="preserve">109.2.3. </w:t>
      </w:r>
      <w:r w:rsidR="00B578C7" w:rsidRPr="00B85E4D">
        <w:rPr>
          <w:sz w:val="24"/>
          <w:szCs w:val="24"/>
          <w:lang w:val="en-GB"/>
        </w:rPr>
        <w:t xml:space="preserve">the jurisdiction whose law governs the individual transactions included in the netting </w:t>
      </w:r>
      <w:proofErr w:type="gramStart"/>
      <w:r w:rsidR="00B578C7" w:rsidRPr="00B85E4D">
        <w:rPr>
          <w:sz w:val="24"/>
          <w:szCs w:val="24"/>
          <w:lang w:val="en-GB"/>
        </w:rPr>
        <w:t>agreement;</w:t>
      </w:r>
      <w:proofErr w:type="gramEnd"/>
    </w:p>
    <w:p w14:paraId="6D6A600C" w14:textId="77777777" w:rsidR="00144131" w:rsidRPr="00B85E4D" w:rsidRDefault="00144131" w:rsidP="00B578C7">
      <w:pPr>
        <w:tabs>
          <w:tab w:val="left" w:pos="518"/>
        </w:tabs>
        <w:spacing w:after="0"/>
        <w:jc w:val="both"/>
        <w:rPr>
          <w:sz w:val="24"/>
          <w:szCs w:val="24"/>
          <w:lang w:val="en-GB"/>
        </w:rPr>
      </w:pPr>
      <w:r w:rsidRPr="00B85E4D">
        <w:rPr>
          <w:sz w:val="24"/>
          <w:szCs w:val="24"/>
          <w:lang w:val="en-GB"/>
        </w:rPr>
        <w:tab/>
        <w:t>109.2.4.</w:t>
      </w:r>
      <w:r w:rsidR="00B578C7" w:rsidRPr="00B85E4D">
        <w:rPr>
          <w:sz w:val="24"/>
          <w:szCs w:val="24"/>
          <w:lang w:val="en-GB"/>
        </w:rPr>
        <w:t xml:space="preserve"> the jurisdiction whose law governs any contract or agreement necessary to </w:t>
      </w:r>
      <w:proofErr w:type="gramStart"/>
      <w:r w:rsidR="00B578C7" w:rsidRPr="00B85E4D">
        <w:rPr>
          <w:sz w:val="24"/>
          <w:szCs w:val="24"/>
          <w:lang w:val="en-GB"/>
        </w:rPr>
        <w:t>effect</w:t>
      </w:r>
      <w:proofErr w:type="gramEnd"/>
      <w:r w:rsidR="00B578C7" w:rsidRPr="00B85E4D">
        <w:rPr>
          <w:sz w:val="24"/>
          <w:szCs w:val="24"/>
          <w:lang w:val="en-GB"/>
        </w:rPr>
        <w:t xml:space="preserve"> the contractual netting; </w:t>
      </w:r>
    </w:p>
    <w:p w14:paraId="68E92DEE" w14:textId="77777777" w:rsidR="00144131" w:rsidRPr="00B85E4D" w:rsidRDefault="00144131" w:rsidP="00B578C7">
      <w:pPr>
        <w:tabs>
          <w:tab w:val="left" w:pos="518"/>
        </w:tabs>
        <w:spacing w:after="0"/>
        <w:jc w:val="both"/>
        <w:rPr>
          <w:sz w:val="24"/>
          <w:szCs w:val="24"/>
          <w:lang w:val="en-GB"/>
        </w:rPr>
      </w:pPr>
      <w:r w:rsidRPr="00B85E4D">
        <w:rPr>
          <w:sz w:val="24"/>
          <w:szCs w:val="24"/>
          <w:lang w:val="en-GB"/>
        </w:rPr>
        <w:tab/>
        <w:t xml:space="preserve">109.3. </w:t>
      </w:r>
      <w:r w:rsidR="00B578C7" w:rsidRPr="00B85E4D">
        <w:rPr>
          <w:sz w:val="24"/>
          <w:szCs w:val="24"/>
          <w:lang w:val="en-GB"/>
        </w:rPr>
        <w:t xml:space="preserve">credit risk to each counterparty is aggregated to arrive at a single legal exposure across transactions with each counterparty. This aggregation shall be factored into credit limit purposes and internal capital </w:t>
      </w:r>
      <w:proofErr w:type="gramStart"/>
      <w:r w:rsidR="00B578C7" w:rsidRPr="00B85E4D">
        <w:rPr>
          <w:sz w:val="24"/>
          <w:szCs w:val="24"/>
          <w:lang w:val="en-GB"/>
        </w:rPr>
        <w:t>purposes;</w:t>
      </w:r>
      <w:proofErr w:type="gramEnd"/>
      <w:r w:rsidR="00B578C7" w:rsidRPr="00B85E4D">
        <w:rPr>
          <w:sz w:val="24"/>
          <w:szCs w:val="24"/>
          <w:lang w:val="en-GB"/>
        </w:rPr>
        <w:t xml:space="preserve"> </w:t>
      </w:r>
    </w:p>
    <w:p w14:paraId="1C83391B" w14:textId="77777777" w:rsidR="00144131" w:rsidRPr="00B85E4D" w:rsidRDefault="00144131" w:rsidP="00B578C7">
      <w:pPr>
        <w:tabs>
          <w:tab w:val="left" w:pos="518"/>
        </w:tabs>
        <w:spacing w:after="0"/>
        <w:jc w:val="both"/>
        <w:rPr>
          <w:sz w:val="24"/>
          <w:szCs w:val="24"/>
          <w:lang w:val="en-GB"/>
        </w:rPr>
      </w:pPr>
      <w:r w:rsidRPr="00B85E4D">
        <w:rPr>
          <w:sz w:val="24"/>
          <w:szCs w:val="24"/>
          <w:lang w:val="en-GB"/>
        </w:rPr>
        <w:tab/>
        <w:t xml:space="preserve">109.4. </w:t>
      </w:r>
      <w:r w:rsidR="00B578C7" w:rsidRPr="00B85E4D">
        <w:rPr>
          <w:sz w:val="24"/>
          <w:szCs w:val="24"/>
          <w:lang w:val="en-GB"/>
        </w:rPr>
        <w:t xml:space="preserve">the contract shall not contain any clause which, in the event of default of a counterparty, permits a non-defaulting counterparty to make limited payments only, or no payments at all, to the estate of the defaulting party, even if the defaulting party is a net </w:t>
      </w:r>
      <w:proofErr w:type="gramStart"/>
      <w:r w:rsidR="00B578C7" w:rsidRPr="00B85E4D">
        <w:rPr>
          <w:sz w:val="24"/>
          <w:szCs w:val="24"/>
          <w:lang w:val="en-GB"/>
        </w:rPr>
        <w:t>creditor</w:t>
      </w:r>
      <w:proofErr w:type="gramEnd"/>
      <w:r w:rsidR="00B578C7" w:rsidRPr="00B85E4D">
        <w:rPr>
          <w:sz w:val="24"/>
          <w:szCs w:val="24"/>
          <w:lang w:val="en-GB"/>
        </w:rPr>
        <w:t xml:space="preserve"> </w:t>
      </w:r>
    </w:p>
    <w:p w14:paraId="047C31E8" w14:textId="75790184" w:rsidR="00144131" w:rsidRPr="00B85E4D" w:rsidRDefault="00144131" w:rsidP="00B578C7">
      <w:pPr>
        <w:tabs>
          <w:tab w:val="left" w:pos="518"/>
        </w:tabs>
        <w:spacing w:after="0"/>
        <w:jc w:val="both"/>
        <w:rPr>
          <w:sz w:val="24"/>
          <w:szCs w:val="24"/>
          <w:lang w:val="en-GB"/>
        </w:rPr>
      </w:pPr>
      <w:r w:rsidRPr="00B85E4D">
        <w:rPr>
          <w:b/>
          <w:bCs/>
          <w:sz w:val="24"/>
          <w:szCs w:val="24"/>
          <w:lang w:val="en-GB"/>
        </w:rPr>
        <w:tab/>
        <w:t>110.</w:t>
      </w:r>
      <w:r w:rsidRPr="00B85E4D">
        <w:rPr>
          <w:sz w:val="24"/>
          <w:szCs w:val="24"/>
          <w:lang w:val="en-GB"/>
        </w:rPr>
        <w:t xml:space="preserve"> </w:t>
      </w:r>
      <w:r w:rsidR="00B578C7" w:rsidRPr="00B85E4D">
        <w:rPr>
          <w:sz w:val="24"/>
          <w:szCs w:val="24"/>
          <w:lang w:val="en-GB"/>
        </w:rPr>
        <w:t xml:space="preserve">If </w:t>
      </w:r>
      <w:r w:rsidRPr="00B85E4D">
        <w:rPr>
          <w:sz w:val="24"/>
          <w:szCs w:val="24"/>
          <w:lang w:val="en-GB"/>
        </w:rPr>
        <w:t>the National Bank of Moldova</w:t>
      </w:r>
      <w:r w:rsidR="00B578C7" w:rsidRPr="00B85E4D">
        <w:rPr>
          <w:sz w:val="24"/>
          <w:szCs w:val="24"/>
          <w:lang w:val="en-GB"/>
        </w:rPr>
        <w:t xml:space="preserve"> </w:t>
      </w:r>
      <w:r w:rsidRPr="00B85E4D">
        <w:rPr>
          <w:sz w:val="24"/>
          <w:szCs w:val="24"/>
          <w:lang w:val="en-GB"/>
        </w:rPr>
        <w:t>is</w:t>
      </w:r>
      <w:r w:rsidR="00B578C7" w:rsidRPr="00B85E4D">
        <w:rPr>
          <w:sz w:val="24"/>
          <w:szCs w:val="24"/>
          <w:lang w:val="en-GB"/>
        </w:rPr>
        <w:t xml:space="preserve"> not satisfied that the contractual netting is legally valid and enforceable under the law of each of the jurisdictions referred to in </w:t>
      </w:r>
      <w:r w:rsidRPr="00B85E4D">
        <w:rPr>
          <w:sz w:val="24"/>
          <w:szCs w:val="24"/>
          <w:lang w:val="en-GB"/>
        </w:rPr>
        <w:t>paragraph</w:t>
      </w:r>
      <w:r w:rsidR="00B578C7" w:rsidRPr="00B85E4D">
        <w:rPr>
          <w:sz w:val="24"/>
          <w:szCs w:val="24"/>
          <w:lang w:val="en-GB"/>
        </w:rPr>
        <w:t xml:space="preserve"> </w:t>
      </w:r>
      <w:r w:rsidRPr="00B85E4D">
        <w:rPr>
          <w:sz w:val="24"/>
          <w:szCs w:val="24"/>
          <w:lang w:val="en-GB"/>
        </w:rPr>
        <w:t>109, sub-paragraph 109.2.</w:t>
      </w:r>
      <w:r w:rsidR="00B578C7" w:rsidRPr="00B85E4D">
        <w:rPr>
          <w:sz w:val="24"/>
          <w:szCs w:val="24"/>
          <w:lang w:val="en-GB"/>
        </w:rPr>
        <w:t xml:space="preserve"> the contractual netting agreement shall not be recognised as risk-reducing for either of the counterparties. </w:t>
      </w:r>
    </w:p>
    <w:p w14:paraId="311BC8F3" w14:textId="77777777" w:rsidR="00144131" w:rsidRPr="00B85E4D" w:rsidRDefault="00144131" w:rsidP="00B578C7">
      <w:pPr>
        <w:tabs>
          <w:tab w:val="left" w:pos="518"/>
        </w:tabs>
        <w:spacing w:after="0"/>
        <w:jc w:val="both"/>
        <w:rPr>
          <w:sz w:val="24"/>
          <w:szCs w:val="24"/>
          <w:lang w:val="en-GB"/>
        </w:rPr>
      </w:pPr>
      <w:r w:rsidRPr="00B85E4D">
        <w:rPr>
          <w:b/>
          <w:bCs/>
          <w:sz w:val="24"/>
          <w:szCs w:val="24"/>
          <w:lang w:val="en-GB"/>
        </w:rPr>
        <w:tab/>
        <w:t>111.</w:t>
      </w:r>
      <w:r w:rsidR="00B578C7" w:rsidRPr="00B85E4D">
        <w:rPr>
          <w:sz w:val="24"/>
          <w:szCs w:val="24"/>
          <w:lang w:val="en-GB"/>
        </w:rPr>
        <w:t xml:space="preserve"> The legal opinions referred to in </w:t>
      </w:r>
      <w:r w:rsidRPr="00B85E4D">
        <w:rPr>
          <w:sz w:val="24"/>
          <w:szCs w:val="24"/>
          <w:lang w:val="en-GB"/>
        </w:rPr>
        <w:t xml:space="preserve">paragraph 109, sub-paragraph 109.2. </w:t>
      </w:r>
      <w:r w:rsidR="00B578C7" w:rsidRPr="00B85E4D">
        <w:rPr>
          <w:sz w:val="24"/>
          <w:szCs w:val="24"/>
          <w:lang w:val="en-GB"/>
        </w:rPr>
        <w:t xml:space="preserve">may be drawn up by reference to types of contractual netting. The following additional conditions shall be fulfilled by contractual cross-product netting agreements: </w:t>
      </w:r>
    </w:p>
    <w:p w14:paraId="7E5CC139" w14:textId="3D19C81D" w:rsidR="00144131" w:rsidRPr="00B85E4D" w:rsidRDefault="00144131" w:rsidP="00B578C7">
      <w:pPr>
        <w:tabs>
          <w:tab w:val="left" w:pos="518"/>
        </w:tabs>
        <w:spacing w:after="0"/>
        <w:jc w:val="both"/>
        <w:rPr>
          <w:sz w:val="24"/>
          <w:szCs w:val="24"/>
          <w:lang w:val="en-GB"/>
        </w:rPr>
      </w:pPr>
      <w:r w:rsidRPr="00B85E4D">
        <w:rPr>
          <w:sz w:val="24"/>
          <w:szCs w:val="24"/>
          <w:lang w:val="en-GB"/>
        </w:rPr>
        <w:tab/>
        <w:t xml:space="preserve">111.1. </w:t>
      </w:r>
      <w:r w:rsidR="00B578C7" w:rsidRPr="00B85E4D">
        <w:rPr>
          <w:sz w:val="24"/>
          <w:szCs w:val="24"/>
          <w:lang w:val="en-GB"/>
        </w:rPr>
        <w:t xml:space="preserve">the net sum referred to in </w:t>
      </w:r>
      <w:r w:rsidRPr="00B85E4D">
        <w:rPr>
          <w:sz w:val="24"/>
          <w:szCs w:val="24"/>
          <w:lang w:val="en-GB"/>
        </w:rPr>
        <w:t xml:space="preserve">paragraph 109, sub-paragraph 109.1. </w:t>
      </w:r>
      <w:r w:rsidR="00B578C7" w:rsidRPr="00B85E4D">
        <w:rPr>
          <w:sz w:val="24"/>
          <w:szCs w:val="24"/>
          <w:lang w:val="en-GB"/>
        </w:rPr>
        <w:t xml:space="preserve"> is the net sum of the positive and negative close out values of any included individual bilateral master agreement and of the positive and negative mark-to-market value of the individual transactions (the ‘</w:t>
      </w:r>
      <w:proofErr w:type="spellStart"/>
      <w:r w:rsidR="00B578C7" w:rsidRPr="00B85E4D">
        <w:rPr>
          <w:sz w:val="24"/>
          <w:szCs w:val="24"/>
          <w:lang w:val="en-GB"/>
        </w:rPr>
        <w:t>crossproduct</w:t>
      </w:r>
      <w:proofErr w:type="spellEnd"/>
      <w:r w:rsidR="00B578C7" w:rsidRPr="00B85E4D">
        <w:rPr>
          <w:sz w:val="24"/>
          <w:szCs w:val="24"/>
          <w:lang w:val="en-GB"/>
        </w:rPr>
        <w:t xml:space="preserve"> net amount’</w:t>
      </w:r>
      <w:proofErr w:type="gramStart"/>
      <w:r w:rsidR="00B578C7" w:rsidRPr="00B85E4D">
        <w:rPr>
          <w:sz w:val="24"/>
          <w:szCs w:val="24"/>
          <w:lang w:val="en-GB"/>
        </w:rPr>
        <w:t>);</w:t>
      </w:r>
      <w:proofErr w:type="gramEnd"/>
      <w:r w:rsidR="00B578C7" w:rsidRPr="00B85E4D">
        <w:rPr>
          <w:sz w:val="24"/>
          <w:szCs w:val="24"/>
          <w:lang w:val="en-GB"/>
        </w:rPr>
        <w:t xml:space="preserve"> </w:t>
      </w:r>
    </w:p>
    <w:p w14:paraId="7A521E1F" w14:textId="5C3D7762" w:rsidR="00B578C7" w:rsidRPr="00B85E4D" w:rsidRDefault="00144131" w:rsidP="00B578C7">
      <w:pPr>
        <w:tabs>
          <w:tab w:val="left" w:pos="518"/>
        </w:tabs>
        <w:spacing w:after="0"/>
        <w:jc w:val="both"/>
        <w:rPr>
          <w:sz w:val="24"/>
          <w:szCs w:val="24"/>
          <w:lang w:val="en-GB"/>
        </w:rPr>
      </w:pPr>
      <w:r w:rsidRPr="00B85E4D">
        <w:rPr>
          <w:sz w:val="24"/>
          <w:szCs w:val="24"/>
          <w:lang w:val="en-GB"/>
        </w:rPr>
        <w:tab/>
        <w:t xml:space="preserve">111.2. </w:t>
      </w:r>
      <w:r w:rsidR="00B578C7" w:rsidRPr="00B85E4D">
        <w:rPr>
          <w:sz w:val="24"/>
          <w:szCs w:val="24"/>
          <w:lang w:val="en-GB"/>
        </w:rPr>
        <w:t xml:space="preserve">the legal opinions referred to in </w:t>
      </w:r>
      <w:r w:rsidRPr="00B85E4D">
        <w:rPr>
          <w:sz w:val="24"/>
          <w:szCs w:val="24"/>
          <w:lang w:val="en-GB"/>
        </w:rPr>
        <w:t xml:space="preserve">paragraph 109, sub-paragraph 109.2. </w:t>
      </w:r>
      <w:r w:rsidR="00B578C7" w:rsidRPr="00B85E4D">
        <w:rPr>
          <w:sz w:val="24"/>
          <w:szCs w:val="24"/>
          <w:lang w:val="en-GB"/>
        </w:rPr>
        <w:t>shall address the validity and enforceability of the entire contractual cross-product netting agreement under its terms and the impact of the netting arrangement on the material provisions of any included individual bilateral master agreement.</w:t>
      </w:r>
    </w:p>
    <w:p w14:paraId="2834CBAD" w14:textId="77777777" w:rsidR="00144131" w:rsidRPr="00B85E4D" w:rsidRDefault="00144131" w:rsidP="00B578C7">
      <w:pPr>
        <w:tabs>
          <w:tab w:val="left" w:pos="518"/>
        </w:tabs>
        <w:spacing w:after="0"/>
        <w:jc w:val="both"/>
        <w:rPr>
          <w:sz w:val="24"/>
          <w:szCs w:val="24"/>
          <w:lang w:val="en-GB"/>
        </w:rPr>
      </w:pPr>
    </w:p>
    <w:p w14:paraId="0F54A0D7" w14:textId="16353E7A" w:rsidR="00144131" w:rsidRPr="00D0496E" w:rsidRDefault="00144131" w:rsidP="00144131">
      <w:pPr>
        <w:tabs>
          <w:tab w:val="left" w:pos="518"/>
        </w:tabs>
        <w:spacing w:after="0"/>
        <w:jc w:val="center"/>
        <w:rPr>
          <w:i/>
          <w:iCs/>
          <w:sz w:val="24"/>
          <w:szCs w:val="24"/>
          <w:lang w:val="en-GB"/>
        </w:rPr>
      </w:pPr>
      <w:r w:rsidRPr="00D0496E">
        <w:rPr>
          <w:i/>
          <w:iCs/>
          <w:sz w:val="24"/>
          <w:szCs w:val="24"/>
          <w:lang w:val="en-GB"/>
        </w:rPr>
        <w:t>Section 3</w:t>
      </w:r>
    </w:p>
    <w:p w14:paraId="3D0C26B2" w14:textId="53496B40" w:rsidR="00144131" w:rsidRPr="00D0496E" w:rsidRDefault="00B578C7" w:rsidP="00144131">
      <w:pPr>
        <w:tabs>
          <w:tab w:val="left" w:pos="518"/>
        </w:tabs>
        <w:spacing w:after="0"/>
        <w:jc w:val="center"/>
        <w:rPr>
          <w:b/>
          <w:bCs/>
          <w:sz w:val="24"/>
          <w:szCs w:val="24"/>
          <w:lang w:val="en-GB"/>
        </w:rPr>
      </w:pPr>
      <w:r w:rsidRPr="00D0496E">
        <w:rPr>
          <w:b/>
          <w:bCs/>
          <w:sz w:val="24"/>
          <w:szCs w:val="24"/>
          <w:lang w:val="en-GB"/>
        </w:rPr>
        <w:t xml:space="preserve">Obligations of </w:t>
      </w:r>
      <w:r w:rsidR="004B7FF1" w:rsidRPr="00D0496E">
        <w:rPr>
          <w:b/>
          <w:bCs/>
          <w:sz w:val="24"/>
          <w:szCs w:val="24"/>
          <w:lang w:val="en-GB"/>
        </w:rPr>
        <w:t>bank</w:t>
      </w:r>
      <w:r w:rsidRPr="00D0496E">
        <w:rPr>
          <w:b/>
          <w:bCs/>
          <w:sz w:val="24"/>
          <w:szCs w:val="24"/>
          <w:lang w:val="en-GB"/>
        </w:rPr>
        <w:t xml:space="preserve">s </w:t>
      </w:r>
      <w:r w:rsidR="00144131" w:rsidRPr="00D0496E">
        <w:rPr>
          <w:b/>
          <w:bCs/>
          <w:sz w:val="24"/>
          <w:szCs w:val="24"/>
          <w:lang w:val="en-GB"/>
        </w:rPr>
        <w:t>and</w:t>
      </w:r>
    </w:p>
    <w:p w14:paraId="5474EC00" w14:textId="6FAF8EF4" w:rsidR="00144131" w:rsidRPr="00D0496E" w:rsidRDefault="00144131" w:rsidP="00144131">
      <w:pPr>
        <w:tabs>
          <w:tab w:val="left" w:pos="518"/>
        </w:tabs>
        <w:spacing w:after="0"/>
        <w:jc w:val="center"/>
        <w:rPr>
          <w:b/>
          <w:bCs/>
          <w:sz w:val="24"/>
          <w:szCs w:val="24"/>
          <w:lang w:val="en-GB"/>
        </w:rPr>
      </w:pPr>
      <w:r w:rsidRPr="00D0496E">
        <w:rPr>
          <w:b/>
          <w:bCs/>
          <w:sz w:val="24"/>
          <w:szCs w:val="24"/>
          <w:lang w:val="en-GB"/>
        </w:rPr>
        <w:t>effects of recognition of netting as risk-reducing</w:t>
      </w:r>
    </w:p>
    <w:p w14:paraId="0EDD5659" w14:textId="77777777" w:rsidR="00144131" w:rsidRPr="00B85E4D" w:rsidRDefault="00144131" w:rsidP="00B578C7">
      <w:pPr>
        <w:tabs>
          <w:tab w:val="left" w:pos="518"/>
        </w:tabs>
        <w:spacing w:after="0"/>
        <w:jc w:val="both"/>
        <w:rPr>
          <w:sz w:val="24"/>
          <w:szCs w:val="24"/>
          <w:lang w:val="en-GB"/>
        </w:rPr>
      </w:pPr>
    </w:p>
    <w:p w14:paraId="4DC24773" w14:textId="77777777" w:rsidR="009E42BA" w:rsidRPr="00B85E4D" w:rsidRDefault="00A0628A" w:rsidP="00B578C7">
      <w:pPr>
        <w:tabs>
          <w:tab w:val="left" w:pos="518"/>
        </w:tabs>
        <w:spacing w:after="0"/>
        <w:jc w:val="both"/>
        <w:rPr>
          <w:sz w:val="24"/>
          <w:szCs w:val="24"/>
          <w:lang w:val="en-GB"/>
        </w:rPr>
      </w:pPr>
      <w:r w:rsidRPr="00B85E4D">
        <w:rPr>
          <w:b/>
          <w:bCs/>
          <w:sz w:val="24"/>
          <w:szCs w:val="24"/>
          <w:lang w:val="en-GB"/>
        </w:rPr>
        <w:tab/>
        <w:t>112.</w:t>
      </w:r>
      <w:r w:rsidRPr="00B85E4D">
        <w:rPr>
          <w:sz w:val="24"/>
          <w:szCs w:val="24"/>
          <w:lang w:val="en-GB"/>
        </w:rPr>
        <w:t xml:space="preserve"> </w:t>
      </w:r>
      <w:r w:rsidR="00B578C7" w:rsidRPr="00B85E4D">
        <w:rPr>
          <w:sz w:val="24"/>
          <w:szCs w:val="24"/>
          <w:lang w:val="en-GB"/>
        </w:rPr>
        <w:t>A</w:t>
      </w:r>
      <w:r w:rsidRPr="00B85E4D">
        <w:rPr>
          <w:sz w:val="24"/>
          <w:szCs w:val="24"/>
          <w:lang w:val="en-GB"/>
        </w:rPr>
        <w:t xml:space="preserve"> bank </w:t>
      </w:r>
      <w:r w:rsidR="00B578C7" w:rsidRPr="00B85E4D">
        <w:rPr>
          <w:sz w:val="24"/>
          <w:szCs w:val="24"/>
          <w:lang w:val="en-GB"/>
        </w:rPr>
        <w:t xml:space="preserve">shall establish and maintain procedures to ensure that the legal validity and enforceability of its contractual netting is reviewed in the light of changes in the law of relevant jurisdictions referred to in </w:t>
      </w:r>
      <w:r w:rsidRPr="00B85E4D">
        <w:rPr>
          <w:sz w:val="24"/>
          <w:szCs w:val="24"/>
          <w:lang w:val="en-GB"/>
        </w:rPr>
        <w:t>paragraph 109 subparagraph 109</w:t>
      </w:r>
      <w:r w:rsidR="00B578C7" w:rsidRPr="00B85E4D">
        <w:rPr>
          <w:sz w:val="24"/>
          <w:szCs w:val="24"/>
          <w:lang w:val="en-GB"/>
        </w:rPr>
        <w:t xml:space="preserve">.2. </w:t>
      </w:r>
    </w:p>
    <w:p w14:paraId="2B611027" w14:textId="77777777" w:rsidR="009E42BA" w:rsidRPr="00B85E4D" w:rsidRDefault="009E42BA"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113.</w:t>
      </w:r>
      <w:r w:rsidRPr="00B85E4D">
        <w:rPr>
          <w:sz w:val="24"/>
          <w:szCs w:val="24"/>
          <w:lang w:val="en-GB"/>
        </w:rPr>
        <w:t xml:space="preserve"> </w:t>
      </w:r>
      <w:r w:rsidR="00B578C7" w:rsidRPr="00B85E4D">
        <w:rPr>
          <w:sz w:val="24"/>
          <w:szCs w:val="24"/>
          <w:lang w:val="en-GB"/>
        </w:rPr>
        <w:t xml:space="preserve">The </w:t>
      </w:r>
      <w:r w:rsidRPr="00B85E4D">
        <w:rPr>
          <w:sz w:val="24"/>
          <w:szCs w:val="24"/>
          <w:lang w:val="en-GB"/>
        </w:rPr>
        <w:t>bank</w:t>
      </w:r>
      <w:r w:rsidR="00B578C7" w:rsidRPr="00B85E4D">
        <w:rPr>
          <w:sz w:val="24"/>
          <w:szCs w:val="24"/>
          <w:lang w:val="en-GB"/>
        </w:rPr>
        <w:t xml:space="preserve"> shall maintain all required documentation relating to its contractual netting in its files. </w:t>
      </w:r>
    </w:p>
    <w:p w14:paraId="1335CFCA" w14:textId="3BFEC19F" w:rsidR="00B578C7" w:rsidRPr="00B85E4D" w:rsidRDefault="009E42BA" w:rsidP="00B578C7">
      <w:pPr>
        <w:tabs>
          <w:tab w:val="left" w:pos="518"/>
        </w:tabs>
        <w:spacing w:after="0"/>
        <w:jc w:val="both"/>
        <w:rPr>
          <w:sz w:val="24"/>
          <w:szCs w:val="24"/>
          <w:lang w:val="en-GB"/>
        </w:rPr>
      </w:pPr>
      <w:r w:rsidRPr="00B85E4D">
        <w:rPr>
          <w:sz w:val="24"/>
          <w:szCs w:val="24"/>
          <w:lang w:val="en-GB"/>
        </w:rPr>
        <w:lastRenderedPageBreak/>
        <w:tab/>
      </w:r>
      <w:r w:rsidRPr="00B85E4D">
        <w:rPr>
          <w:b/>
          <w:bCs/>
          <w:sz w:val="24"/>
          <w:szCs w:val="24"/>
          <w:lang w:val="en-GB"/>
        </w:rPr>
        <w:t>114.</w:t>
      </w:r>
      <w:r w:rsidRPr="00B85E4D">
        <w:rPr>
          <w:sz w:val="24"/>
          <w:szCs w:val="24"/>
          <w:lang w:val="en-GB"/>
        </w:rPr>
        <w:t xml:space="preserve"> </w:t>
      </w:r>
      <w:r w:rsidR="00B578C7" w:rsidRPr="00B85E4D">
        <w:rPr>
          <w:sz w:val="24"/>
          <w:szCs w:val="24"/>
          <w:lang w:val="en-GB"/>
        </w:rPr>
        <w:t xml:space="preserve">The </w:t>
      </w:r>
      <w:r w:rsidRPr="00B85E4D">
        <w:rPr>
          <w:sz w:val="24"/>
          <w:szCs w:val="24"/>
          <w:lang w:val="en-GB"/>
        </w:rPr>
        <w:t>bank</w:t>
      </w:r>
      <w:r w:rsidR="00B578C7" w:rsidRPr="00B85E4D">
        <w:rPr>
          <w:sz w:val="24"/>
          <w:szCs w:val="24"/>
          <w:lang w:val="en-GB"/>
        </w:rPr>
        <w:t xml:space="preserve"> shall factor the effects of netting into its measurement of each counterparty's aggregate credit risk exposure and the </w:t>
      </w:r>
      <w:r w:rsidR="004B7FF1" w:rsidRPr="00B85E4D">
        <w:rPr>
          <w:sz w:val="24"/>
          <w:szCs w:val="24"/>
          <w:lang w:val="en-GB"/>
        </w:rPr>
        <w:t>bank</w:t>
      </w:r>
      <w:r w:rsidR="00B578C7" w:rsidRPr="00B85E4D">
        <w:rPr>
          <w:sz w:val="24"/>
          <w:szCs w:val="24"/>
          <w:lang w:val="en-GB"/>
        </w:rPr>
        <w:t xml:space="preserve"> shall manage its CCR </w:t>
      </w:r>
      <w:proofErr w:type="gramStart"/>
      <w:r w:rsidR="00B578C7" w:rsidRPr="00B85E4D">
        <w:rPr>
          <w:sz w:val="24"/>
          <w:szCs w:val="24"/>
          <w:lang w:val="en-GB"/>
        </w:rPr>
        <w:t>on the basis of</w:t>
      </w:r>
      <w:proofErr w:type="gramEnd"/>
      <w:r w:rsidR="00B578C7" w:rsidRPr="00B85E4D">
        <w:rPr>
          <w:sz w:val="24"/>
          <w:szCs w:val="24"/>
          <w:lang w:val="en-GB"/>
        </w:rPr>
        <w:t xml:space="preserve"> those effects of that measurement.</w:t>
      </w:r>
    </w:p>
    <w:p w14:paraId="5BBD1C09" w14:textId="77777777" w:rsidR="009E42BA" w:rsidRPr="00B85E4D" w:rsidRDefault="009E42BA"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115.</w:t>
      </w:r>
      <w:r w:rsidRPr="00B85E4D">
        <w:rPr>
          <w:sz w:val="24"/>
          <w:szCs w:val="24"/>
          <w:lang w:val="en-GB"/>
        </w:rPr>
        <w:t xml:space="preserve"> </w:t>
      </w:r>
      <w:r w:rsidR="00B578C7" w:rsidRPr="00B85E4D">
        <w:rPr>
          <w:sz w:val="24"/>
          <w:szCs w:val="24"/>
          <w:lang w:val="en-GB"/>
        </w:rPr>
        <w:t xml:space="preserve">In the case of contractual cross-product netting agreements referred to in </w:t>
      </w:r>
      <w:r w:rsidRPr="00B85E4D">
        <w:rPr>
          <w:sz w:val="24"/>
          <w:szCs w:val="24"/>
          <w:lang w:val="en-GB"/>
        </w:rPr>
        <w:t>paragraph 106</w:t>
      </w:r>
      <w:r w:rsidR="00B578C7" w:rsidRPr="00B85E4D">
        <w:rPr>
          <w:sz w:val="24"/>
          <w:szCs w:val="24"/>
          <w:lang w:val="en-GB"/>
        </w:rPr>
        <w:t xml:space="preserve">, the </w:t>
      </w:r>
      <w:r w:rsidRPr="00B85E4D">
        <w:rPr>
          <w:sz w:val="24"/>
          <w:szCs w:val="24"/>
          <w:lang w:val="en-GB"/>
        </w:rPr>
        <w:t>bank</w:t>
      </w:r>
      <w:r w:rsidR="00B578C7" w:rsidRPr="00B85E4D">
        <w:rPr>
          <w:sz w:val="24"/>
          <w:szCs w:val="24"/>
          <w:lang w:val="en-GB"/>
        </w:rPr>
        <w:t xml:space="preserve"> shall maintain procedures under </w:t>
      </w:r>
      <w:r w:rsidRPr="00B85E4D">
        <w:rPr>
          <w:sz w:val="24"/>
          <w:szCs w:val="24"/>
          <w:lang w:val="en-GB"/>
        </w:rPr>
        <w:t xml:space="preserve">paragraph 109 subparagraph 109.3 </w:t>
      </w:r>
      <w:r w:rsidR="00B578C7" w:rsidRPr="00B85E4D">
        <w:rPr>
          <w:sz w:val="24"/>
          <w:szCs w:val="24"/>
          <w:lang w:val="en-GB"/>
        </w:rPr>
        <w:t xml:space="preserve">to verify that any transaction which is to be included in a netting set is covered by a legal opinion referred to in </w:t>
      </w:r>
      <w:r w:rsidRPr="00B85E4D">
        <w:rPr>
          <w:sz w:val="24"/>
          <w:szCs w:val="24"/>
          <w:lang w:val="en-GB"/>
        </w:rPr>
        <w:t>paragraph 109 subparagraph 109.2</w:t>
      </w:r>
      <w:r w:rsidR="00B578C7" w:rsidRPr="00B85E4D">
        <w:rPr>
          <w:sz w:val="24"/>
          <w:szCs w:val="24"/>
          <w:lang w:val="en-GB"/>
        </w:rPr>
        <w:t xml:space="preserve">. </w:t>
      </w:r>
    </w:p>
    <w:p w14:paraId="4CF924F0" w14:textId="500E367E" w:rsidR="00B578C7" w:rsidRPr="00B85E4D" w:rsidRDefault="009E42BA"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116.</w:t>
      </w:r>
      <w:r w:rsidRPr="00B85E4D">
        <w:rPr>
          <w:sz w:val="24"/>
          <w:szCs w:val="24"/>
          <w:lang w:val="en-GB"/>
        </w:rPr>
        <w:t xml:space="preserve"> </w:t>
      </w:r>
      <w:proofErr w:type="gramStart"/>
      <w:r w:rsidRPr="00B85E4D">
        <w:rPr>
          <w:sz w:val="24"/>
          <w:szCs w:val="24"/>
          <w:lang w:val="en-GB"/>
        </w:rPr>
        <w:t>Taking into account</w:t>
      </w:r>
      <w:proofErr w:type="gramEnd"/>
      <w:r w:rsidRPr="00B85E4D">
        <w:rPr>
          <w:sz w:val="24"/>
          <w:szCs w:val="24"/>
          <w:lang w:val="en-GB"/>
        </w:rPr>
        <w:t xml:space="preserve"> the contractual cross-product netting agreement, the bank shall continue to comply with the requirements for the recognition of bilateral netting and the requirements for the recognition of credit risk mitigation, as set out in Regulation No. 112/2018 of the National Bank of Moldova, as applicable, in respect of each individual bilateral master agreement and each transaction included therein.</w:t>
      </w:r>
    </w:p>
    <w:p w14:paraId="5205C495" w14:textId="7463FCF3" w:rsidR="009E42BA" w:rsidRPr="00B85E4D" w:rsidRDefault="009E42BA" w:rsidP="00B578C7">
      <w:pPr>
        <w:tabs>
          <w:tab w:val="left" w:pos="518"/>
        </w:tabs>
        <w:spacing w:after="0"/>
        <w:jc w:val="both"/>
        <w:rPr>
          <w:sz w:val="24"/>
          <w:szCs w:val="24"/>
          <w:lang w:val="en-GB"/>
        </w:rPr>
      </w:pPr>
      <w:r w:rsidRPr="00B85E4D">
        <w:rPr>
          <w:rStyle w:val="Strong"/>
          <w:sz w:val="24"/>
          <w:szCs w:val="24"/>
          <w:lang w:val="en-GB"/>
        </w:rPr>
        <w:tab/>
        <w:t>117.</w:t>
      </w:r>
      <w:r w:rsidRPr="00B85E4D">
        <w:rPr>
          <w:sz w:val="24"/>
          <w:szCs w:val="24"/>
          <w:lang w:val="en-GB"/>
        </w:rPr>
        <w:t xml:space="preserve"> Netting, for the purposes of Chapters III–V, shall be recognised as provided in the respective Chapters.</w:t>
      </w:r>
    </w:p>
    <w:p w14:paraId="2319D5FD" w14:textId="77777777" w:rsidR="009E42BA" w:rsidRPr="00B85E4D" w:rsidRDefault="009E42BA" w:rsidP="00B578C7">
      <w:pPr>
        <w:tabs>
          <w:tab w:val="left" w:pos="518"/>
        </w:tabs>
        <w:spacing w:after="0"/>
        <w:jc w:val="both"/>
        <w:rPr>
          <w:sz w:val="24"/>
          <w:szCs w:val="24"/>
          <w:lang w:val="en-GB"/>
        </w:rPr>
      </w:pPr>
    </w:p>
    <w:p w14:paraId="10A5BBFB" w14:textId="77777777" w:rsidR="009E42BA" w:rsidRPr="00B85E4D" w:rsidRDefault="009E42BA" w:rsidP="00B578C7">
      <w:pPr>
        <w:tabs>
          <w:tab w:val="left" w:pos="518"/>
        </w:tabs>
        <w:spacing w:after="0"/>
        <w:jc w:val="both"/>
        <w:rPr>
          <w:sz w:val="24"/>
          <w:szCs w:val="24"/>
          <w:lang w:val="en-GB"/>
        </w:rPr>
      </w:pPr>
    </w:p>
    <w:p w14:paraId="7B38A486" w14:textId="77777777" w:rsidR="009E42BA" w:rsidRPr="00DF4A67" w:rsidRDefault="009E42BA" w:rsidP="009E42BA">
      <w:pPr>
        <w:tabs>
          <w:tab w:val="left" w:pos="518"/>
        </w:tabs>
        <w:spacing w:after="0"/>
        <w:jc w:val="center"/>
        <w:rPr>
          <w:b/>
          <w:bCs/>
          <w:sz w:val="24"/>
          <w:szCs w:val="24"/>
          <w:lang w:val="en-GB"/>
        </w:rPr>
      </w:pPr>
      <w:r w:rsidRPr="00DF4A67">
        <w:rPr>
          <w:b/>
          <w:bCs/>
          <w:sz w:val="24"/>
          <w:szCs w:val="24"/>
          <w:lang w:val="en-GB"/>
        </w:rPr>
        <w:t>Chapter VII</w:t>
      </w:r>
    </w:p>
    <w:p w14:paraId="7DD82062" w14:textId="6B899245" w:rsidR="009E42BA" w:rsidRPr="00DF4A67" w:rsidRDefault="009E42BA" w:rsidP="009E42BA">
      <w:pPr>
        <w:tabs>
          <w:tab w:val="left" w:pos="518"/>
        </w:tabs>
        <w:spacing w:after="0"/>
        <w:jc w:val="center"/>
        <w:rPr>
          <w:b/>
          <w:bCs/>
          <w:sz w:val="24"/>
          <w:szCs w:val="24"/>
          <w:lang w:val="en-GB"/>
        </w:rPr>
      </w:pPr>
      <w:r w:rsidRPr="00DF4A67">
        <w:rPr>
          <w:b/>
          <w:bCs/>
          <w:sz w:val="24"/>
          <w:szCs w:val="24"/>
          <w:lang w:val="en-GB"/>
        </w:rPr>
        <w:t>Items in the trading book</w:t>
      </w:r>
    </w:p>
    <w:p w14:paraId="4BED6162" w14:textId="77777777" w:rsidR="009E42BA" w:rsidRPr="00B85E4D" w:rsidRDefault="009E42BA" w:rsidP="009E42BA">
      <w:pPr>
        <w:tabs>
          <w:tab w:val="left" w:pos="518"/>
        </w:tabs>
        <w:spacing w:after="0"/>
        <w:jc w:val="center"/>
        <w:rPr>
          <w:b/>
          <w:bCs/>
          <w:sz w:val="24"/>
          <w:szCs w:val="24"/>
          <w:lang w:val="en-GB"/>
        </w:rPr>
      </w:pPr>
    </w:p>
    <w:p w14:paraId="01949EEF" w14:textId="0E979764" w:rsidR="009779FA" w:rsidRPr="00B85E4D" w:rsidRDefault="009E42BA" w:rsidP="00B578C7">
      <w:pPr>
        <w:tabs>
          <w:tab w:val="left" w:pos="518"/>
        </w:tabs>
        <w:spacing w:after="0"/>
        <w:jc w:val="both"/>
        <w:rPr>
          <w:sz w:val="24"/>
          <w:szCs w:val="24"/>
          <w:lang w:val="en-GB"/>
        </w:rPr>
      </w:pPr>
      <w:r w:rsidRPr="00B85E4D">
        <w:rPr>
          <w:b/>
          <w:bCs/>
          <w:sz w:val="24"/>
          <w:szCs w:val="24"/>
          <w:lang w:val="en-GB"/>
        </w:rPr>
        <w:tab/>
      </w:r>
      <w:r w:rsidRPr="00B85E4D">
        <w:rPr>
          <w:b/>
          <w:bCs/>
          <w:sz w:val="24"/>
          <w:szCs w:val="24"/>
          <w:lang w:val="en-GB"/>
        </w:rPr>
        <w:tab/>
        <w:t xml:space="preserve">118. </w:t>
      </w:r>
      <w:r w:rsidRPr="00B85E4D">
        <w:rPr>
          <w:sz w:val="24"/>
          <w:szCs w:val="24"/>
          <w:lang w:val="en-GB"/>
        </w:rPr>
        <w:t xml:space="preserve">When calculating risk-weighted exposure amounts for counterparty risk of items in the trading book, banks shall comply with the principles </w:t>
      </w:r>
      <w:r w:rsidR="00B85E4D">
        <w:rPr>
          <w:sz w:val="24"/>
          <w:szCs w:val="24"/>
          <w:lang w:val="en-GB"/>
        </w:rPr>
        <w:t>i</w:t>
      </w:r>
      <w:r w:rsidR="00B85E4D" w:rsidRPr="00B85E4D">
        <w:rPr>
          <w:sz w:val="24"/>
          <w:szCs w:val="24"/>
          <w:lang w:val="en-GB"/>
        </w:rPr>
        <w:t>ndicates</w:t>
      </w:r>
      <w:r w:rsidRPr="00B85E4D">
        <w:rPr>
          <w:sz w:val="24"/>
          <w:szCs w:val="24"/>
          <w:lang w:val="en-GB"/>
        </w:rPr>
        <w:t xml:space="preserve"> in</w:t>
      </w:r>
      <w:r w:rsidR="00B85E4D">
        <w:rPr>
          <w:sz w:val="24"/>
          <w:szCs w:val="24"/>
          <w:lang w:val="en-GB"/>
        </w:rPr>
        <w:t xml:space="preserve"> </w:t>
      </w:r>
      <w:r w:rsidRPr="00B85E4D">
        <w:rPr>
          <w:sz w:val="24"/>
          <w:szCs w:val="24"/>
          <w:lang w:val="en-GB"/>
        </w:rPr>
        <w:t xml:space="preserve">paragraphs 119-124.   </w:t>
      </w:r>
    </w:p>
    <w:p w14:paraId="3DDCB44C" w14:textId="77777777" w:rsidR="009779FA" w:rsidRPr="00B85E4D" w:rsidRDefault="009779FA" w:rsidP="00B578C7">
      <w:pPr>
        <w:tabs>
          <w:tab w:val="left" w:pos="518"/>
        </w:tabs>
        <w:spacing w:after="0"/>
        <w:jc w:val="both"/>
        <w:rPr>
          <w:sz w:val="24"/>
          <w:szCs w:val="24"/>
          <w:lang w:val="en-GB"/>
        </w:rPr>
      </w:pPr>
      <w:r w:rsidRPr="00B85E4D">
        <w:rPr>
          <w:sz w:val="24"/>
          <w:szCs w:val="24"/>
          <w:lang w:val="en-GB"/>
        </w:rPr>
        <w:tab/>
        <w:t>119.</w:t>
      </w:r>
      <w:r w:rsidR="009E42BA" w:rsidRPr="00B85E4D">
        <w:rPr>
          <w:sz w:val="24"/>
          <w:szCs w:val="24"/>
          <w:lang w:val="en-GB"/>
        </w:rPr>
        <w:t xml:space="preserve"> </w:t>
      </w:r>
      <w:r w:rsidRPr="00B85E4D">
        <w:rPr>
          <w:sz w:val="24"/>
          <w:szCs w:val="24"/>
          <w:lang w:val="en-GB"/>
        </w:rPr>
        <w:t xml:space="preserve">For the recognition of the effects of a financial collateral, banks shall not apply the simple method of financial collateral set out in Chapter VIII, Section 4 of Regulation No. 112/2018. </w:t>
      </w:r>
      <w:r w:rsidR="009E42BA" w:rsidRPr="00B85E4D">
        <w:rPr>
          <w:sz w:val="24"/>
          <w:szCs w:val="24"/>
          <w:lang w:val="en-GB"/>
        </w:rPr>
        <w:t xml:space="preserve"> </w:t>
      </w:r>
    </w:p>
    <w:p w14:paraId="64FAD965" w14:textId="2D51D790" w:rsidR="009E42BA" w:rsidRPr="00B85E4D" w:rsidRDefault="009779FA" w:rsidP="00B578C7">
      <w:pPr>
        <w:tabs>
          <w:tab w:val="left" w:pos="518"/>
        </w:tabs>
        <w:spacing w:after="0"/>
        <w:jc w:val="both"/>
        <w:rPr>
          <w:sz w:val="24"/>
          <w:szCs w:val="24"/>
          <w:lang w:val="en-GB"/>
        </w:rPr>
      </w:pPr>
      <w:r w:rsidRPr="00B85E4D">
        <w:rPr>
          <w:sz w:val="24"/>
          <w:szCs w:val="24"/>
          <w:lang w:val="en-GB"/>
        </w:rPr>
        <w:tab/>
        <w:t>120. I</w:t>
      </w:r>
      <w:r w:rsidR="009E42BA" w:rsidRPr="00B85E4D">
        <w:rPr>
          <w:sz w:val="24"/>
          <w:szCs w:val="24"/>
          <w:lang w:val="en-GB"/>
        </w:rPr>
        <w:t xml:space="preserve">n the case of repurchase transactions and securities or commodities lending or borrowing transactions booked in the trading book, </w:t>
      </w:r>
      <w:r w:rsidRPr="00B85E4D">
        <w:rPr>
          <w:sz w:val="24"/>
          <w:szCs w:val="24"/>
          <w:lang w:val="en-GB"/>
        </w:rPr>
        <w:t>banks</w:t>
      </w:r>
      <w:r w:rsidR="009E42BA" w:rsidRPr="00B85E4D">
        <w:rPr>
          <w:sz w:val="24"/>
          <w:szCs w:val="24"/>
          <w:lang w:val="en-GB"/>
        </w:rPr>
        <w:t xml:space="preserve"> may recognise as eligible collateral all financial instruments and commodities that are eligible to be included in the trading </w:t>
      </w:r>
      <w:proofErr w:type="gramStart"/>
      <w:r w:rsidR="009E42BA" w:rsidRPr="00B85E4D">
        <w:rPr>
          <w:sz w:val="24"/>
          <w:szCs w:val="24"/>
          <w:lang w:val="en-GB"/>
        </w:rPr>
        <w:t>book;</w:t>
      </w:r>
      <w:proofErr w:type="gramEnd"/>
    </w:p>
    <w:p w14:paraId="07CE9DBD" w14:textId="356DDA1A" w:rsidR="009779FA" w:rsidRPr="00B85E4D" w:rsidRDefault="009779FA" w:rsidP="00B578C7">
      <w:pPr>
        <w:tabs>
          <w:tab w:val="left" w:pos="518"/>
        </w:tabs>
        <w:spacing w:after="0"/>
        <w:jc w:val="both"/>
        <w:rPr>
          <w:sz w:val="24"/>
          <w:szCs w:val="24"/>
          <w:lang w:val="en-GB"/>
        </w:rPr>
      </w:pPr>
      <w:r w:rsidRPr="00B85E4D">
        <w:rPr>
          <w:b/>
          <w:bCs/>
          <w:sz w:val="24"/>
          <w:szCs w:val="24"/>
          <w:lang w:val="en-GB"/>
        </w:rPr>
        <w:tab/>
        <w:t>121.</w:t>
      </w:r>
      <w:r w:rsidRPr="00B85E4D">
        <w:rPr>
          <w:sz w:val="24"/>
          <w:szCs w:val="24"/>
          <w:lang w:val="en-GB"/>
        </w:rPr>
        <w:t xml:space="preserve"> F</w:t>
      </w:r>
      <w:r w:rsidR="009E42BA" w:rsidRPr="00B85E4D">
        <w:rPr>
          <w:sz w:val="24"/>
          <w:szCs w:val="24"/>
          <w:lang w:val="en-GB"/>
        </w:rPr>
        <w:t xml:space="preserve">or exposures arising from OTC derivative instruments booked in the trading book, </w:t>
      </w:r>
      <w:r w:rsidRPr="00B85E4D">
        <w:rPr>
          <w:sz w:val="24"/>
          <w:szCs w:val="24"/>
          <w:lang w:val="en-GB"/>
        </w:rPr>
        <w:t>banks</w:t>
      </w:r>
      <w:r w:rsidR="009E42BA" w:rsidRPr="00B85E4D">
        <w:rPr>
          <w:sz w:val="24"/>
          <w:szCs w:val="24"/>
          <w:lang w:val="en-GB"/>
        </w:rPr>
        <w:t xml:space="preserve"> may recognise commodities that are eligible to be included in the trading book as eligible collateral</w:t>
      </w:r>
      <w:r w:rsidRPr="00B85E4D">
        <w:rPr>
          <w:sz w:val="24"/>
          <w:szCs w:val="24"/>
          <w:lang w:val="en-GB"/>
        </w:rPr>
        <w:t>.</w:t>
      </w:r>
    </w:p>
    <w:p w14:paraId="72BCCB4B" w14:textId="77777777" w:rsidR="009779FA" w:rsidRPr="00B85E4D" w:rsidRDefault="009779FA"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122.</w:t>
      </w:r>
      <w:r w:rsidRPr="00B85E4D">
        <w:rPr>
          <w:sz w:val="24"/>
          <w:szCs w:val="24"/>
          <w:lang w:val="en-GB"/>
        </w:rPr>
        <w:t xml:space="preserve"> For the purpose of calculating volatility adjustments, where financial instruments or commodities that are not eligible in accordance with Regulation No. 112/2018 are lent, sold, or provided, or borrowed, purchased, or received as collateral, or otherwise involved in such a transaction, and the bank applies, in accordance with Chapter VIII of the aforementioned Regulation, the supervisory volatility adjustments approach, such instruments and commodities shall be treated in the same manner as equities not included in a main index and listed on a recognised exchange.</w:t>
      </w:r>
    </w:p>
    <w:p w14:paraId="6D1DA412" w14:textId="77777777" w:rsidR="009779FA" w:rsidRPr="00B85E4D" w:rsidRDefault="009779FA" w:rsidP="00B578C7">
      <w:pPr>
        <w:tabs>
          <w:tab w:val="left" w:pos="518"/>
        </w:tabs>
        <w:spacing w:after="0"/>
        <w:jc w:val="both"/>
        <w:rPr>
          <w:sz w:val="24"/>
          <w:szCs w:val="24"/>
          <w:lang w:val="en-GB"/>
        </w:rPr>
      </w:pPr>
      <w:r w:rsidRPr="00B85E4D">
        <w:rPr>
          <w:sz w:val="24"/>
          <w:szCs w:val="24"/>
          <w:lang w:val="en-GB"/>
        </w:rPr>
        <w:t>123. I</w:t>
      </w:r>
      <w:r w:rsidR="009E42BA" w:rsidRPr="00B85E4D">
        <w:rPr>
          <w:sz w:val="24"/>
          <w:szCs w:val="24"/>
          <w:lang w:val="en-GB"/>
        </w:rPr>
        <w:t xml:space="preserve">n relation to the recognition of master netting agreements covering repurchase transactions, securities or commodities lending or borrowing transactions, or other capital market-driven transactions, </w:t>
      </w:r>
      <w:r w:rsidRPr="00B85E4D">
        <w:rPr>
          <w:sz w:val="24"/>
          <w:szCs w:val="24"/>
          <w:lang w:val="en-GB"/>
        </w:rPr>
        <w:t>banks</w:t>
      </w:r>
      <w:r w:rsidR="009E42BA" w:rsidRPr="00B85E4D">
        <w:rPr>
          <w:sz w:val="24"/>
          <w:szCs w:val="24"/>
          <w:lang w:val="en-GB"/>
        </w:rPr>
        <w:t xml:space="preserve"> shall only recognise netting across positions in the trading book and the non-trading book when the netted transactions fulfil the following conditions: </w:t>
      </w:r>
    </w:p>
    <w:p w14:paraId="0228B231" w14:textId="12E181FA" w:rsidR="009779FA" w:rsidRPr="00B85E4D" w:rsidRDefault="009779FA" w:rsidP="00B578C7">
      <w:pPr>
        <w:tabs>
          <w:tab w:val="left" w:pos="518"/>
        </w:tabs>
        <w:spacing w:after="0"/>
        <w:jc w:val="both"/>
        <w:rPr>
          <w:sz w:val="24"/>
          <w:szCs w:val="24"/>
          <w:lang w:val="en-GB"/>
        </w:rPr>
      </w:pPr>
      <w:r w:rsidRPr="00B85E4D">
        <w:rPr>
          <w:sz w:val="24"/>
          <w:szCs w:val="24"/>
          <w:lang w:val="en-GB"/>
        </w:rPr>
        <w:tab/>
        <w:t xml:space="preserve">123.1. </w:t>
      </w:r>
      <w:r w:rsidR="009E42BA" w:rsidRPr="00B85E4D">
        <w:rPr>
          <w:sz w:val="24"/>
          <w:szCs w:val="24"/>
          <w:lang w:val="en-GB"/>
        </w:rPr>
        <w:t xml:space="preserve">all transactions are marked to market </w:t>
      </w:r>
      <w:proofErr w:type="gramStart"/>
      <w:r w:rsidR="009E42BA" w:rsidRPr="00B85E4D">
        <w:rPr>
          <w:sz w:val="24"/>
          <w:szCs w:val="24"/>
          <w:lang w:val="en-GB"/>
        </w:rPr>
        <w:t>daily;</w:t>
      </w:r>
      <w:proofErr w:type="gramEnd"/>
      <w:r w:rsidR="009E42BA" w:rsidRPr="00B85E4D">
        <w:rPr>
          <w:sz w:val="24"/>
          <w:szCs w:val="24"/>
          <w:lang w:val="en-GB"/>
        </w:rPr>
        <w:t xml:space="preserve"> </w:t>
      </w:r>
    </w:p>
    <w:p w14:paraId="6070F097" w14:textId="3F4187AA" w:rsidR="009E42BA" w:rsidRPr="00B85E4D" w:rsidRDefault="009779FA" w:rsidP="00B578C7">
      <w:pPr>
        <w:tabs>
          <w:tab w:val="left" w:pos="518"/>
        </w:tabs>
        <w:spacing w:after="0"/>
        <w:jc w:val="both"/>
        <w:rPr>
          <w:sz w:val="24"/>
          <w:szCs w:val="24"/>
          <w:lang w:val="en-GB"/>
        </w:rPr>
      </w:pPr>
      <w:r w:rsidRPr="00B85E4D">
        <w:rPr>
          <w:sz w:val="24"/>
          <w:szCs w:val="24"/>
          <w:lang w:val="en-GB"/>
        </w:rPr>
        <w:tab/>
        <w:t xml:space="preserve">123.2. </w:t>
      </w:r>
      <w:r w:rsidR="009E42BA" w:rsidRPr="00B85E4D">
        <w:rPr>
          <w:sz w:val="24"/>
          <w:szCs w:val="24"/>
          <w:lang w:val="en-GB"/>
        </w:rPr>
        <w:t xml:space="preserve">any items borrowed, </w:t>
      </w:r>
      <w:r w:rsidRPr="00B85E4D">
        <w:rPr>
          <w:sz w:val="24"/>
          <w:szCs w:val="24"/>
          <w:lang w:val="en-GB"/>
        </w:rPr>
        <w:t xml:space="preserve">purchased or received under such transactions may be recognised as eligible financial collateral in accordance with point 25 of Regulation No. 112/2018 of the National Bank of Moldova, without applying paragraphs 120–122 </w:t>
      </w:r>
      <w:proofErr w:type="gramStart"/>
      <w:r w:rsidRPr="00B85E4D">
        <w:rPr>
          <w:sz w:val="24"/>
          <w:szCs w:val="24"/>
          <w:lang w:val="en-GB"/>
        </w:rPr>
        <w:t>thereof</w:t>
      </w:r>
      <w:r w:rsidR="009E42BA" w:rsidRPr="00B85E4D">
        <w:rPr>
          <w:sz w:val="24"/>
          <w:szCs w:val="24"/>
          <w:lang w:val="en-GB"/>
        </w:rPr>
        <w:t>;</w:t>
      </w:r>
      <w:proofErr w:type="gramEnd"/>
    </w:p>
    <w:p w14:paraId="2B71E78F" w14:textId="6F9063A4" w:rsidR="009779FA" w:rsidRPr="00B85E4D" w:rsidRDefault="009779FA" w:rsidP="009779FA">
      <w:pPr>
        <w:pStyle w:val="NormalWeb"/>
        <w:spacing w:after="0"/>
        <w:ind w:firstLine="709"/>
        <w:jc w:val="both"/>
        <w:rPr>
          <w:rFonts w:eastAsia="Times New Roman"/>
          <w:lang w:val="en-GB" w:eastAsia="ro-RO"/>
        </w:rPr>
      </w:pPr>
      <w:r w:rsidRPr="00B85E4D">
        <w:rPr>
          <w:rFonts w:eastAsia="Times New Roman"/>
          <w:b/>
          <w:bCs/>
          <w:lang w:val="en-GB" w:eastAsia="ro-RO"/>
        </w:rPr>
        <w:t>124.</w:t>
      </w:r>
      <w:r w:rsidRPr="00B85E4D">
        <w:rPr>
          <w:rFonts w:eastAsia="Times New Roman"/>
          <w:lang w:val="en-GB" w:eastAsia="ro-RO"/>
        </w:rPr>
        <w:t xml:space="preserve"> Where a credit derivative included in the trading book forms part of an internal hedge of credit risk, and the credit protection is recognised under Chapter V of Regulation No. 112/2018 of the National Bank of Moldova, banks shall apply one of the following approaches:</w:t>
      </w:r>
    </w:p>
    <w:p w14:paraId="4BCD2CCB" w14:textId="77777777" w:rsidR="009779FA" w:rsidRPr="00B85E4D" w:rsidRDefault="009779FA" w:rsidP="009779FA">
      <w:pPr>
        <w:spacing w:after="0"/>
        <w:ind w:firstLine="709"/>
        <w:jc w:val="both"/>
        <w:rPr>
          <w:rFonts w:eastAsia="Times New Roman" w:cs="Times New Roman"/>
          <w:sz w:val="24"/>
          <w:szCs w:val="24"/>
          <w:lang w:val="en-GB" w:eastAsia="ro-RO"/>
        </w:rPr>
      </w:pPr>
      <w:r w:rsidRPr="00B85E4D">
        <w:rPr>
          <w:rFonts w:eastAsia="Times New Roman" w:cs="Times New Roman"/>
          <w:sz w:val="24"/>
          <w:szCs w:val="24"/>
          <w:lang w:val="en-GB" w:eastAsia="ro-RO"/>
        </w:rPr>
        <w:t>124.1. treat the credit derivative as if there were no counterparty risk arising from the position in that instrument; or</w:t>
      </w:r>
    </w:p>
    <w:p w14:paraId="193C4B67" w14:textId="1A1B2951" w:rsidR="009779FA" w:rsidRPr="00B85E4D" w:rsidRDefault="009779FA" w:rsidP="009779FA">
      <w:pPr>
        <w:spacing w:after="0"/>
        <w:ind w:firstLine="709"/>
        <w:jc w:val="both"/>
        <w:rPr>
          <w:rFonts w:eastAsia="Times New Roman" w:cs="Times New Roman"/>
          <w:sz w:val="24"/>
          <w:szCs w:val="24"/>
          <w:lang w:val="en-GB" w:eastAsia="ro-RO"/>
        </w:rPr>
      </w:pPr>
      <w:r w:rsidRPr="00B85E4D">
        <w:rPr>
          <w:rFonts w:eastAsia="Times New Roman" w:cs="Times New Roman"/>
          <w:sz w:val="24"/>
          <w:szCs w:val="24"/>
          <w:lang w:val="en-GB" w:eastAsia="ro-RO"/>
        </w:rPr>
        <w:t xml:space="preserve">124.2. </w:t>
      </w:r>
      <w:r w:rsidRPr="00B85E4D">
        <w:rPr>
          <w:sz w:val="24"/>
          <w:szCs w:val="24"/>
          <w:lang w:val="en-GB"/>
        </w:rPr>
        <w:t xml:space="preserve">consistently include for the purpose of calculating the own funds requirements for counterparty credit risk all credit derivatives in the trading book forming part of internal hedges or </w:t>
      </w:r>
      <w:r w:rsidRPr="00B85E4D">
        <w:rPr>
          <w:sz w:val="24"/>
          <w:szCs w:val="24"/>
          <w:lang w:val="en-GB"/>
        </w:rPr>
        <w:lastRenderedPageBreak/>
        <w:t xml:space="preserve">purchased as protection against a CCR exposure where the credit protection is recognised as eligible </w:t>
      </w:r>
      <w:r w:rsidRPr="00B85E4D">
        <w:rPr>
          <w:rFonts w:eastAsia="Times New Roman" w:cs="Times New Roman"/>
          <w:sz w:val="24"/>
          <w:szCs w:val="24"/>
          <w:lang w:val="en-GB" w:eastAsia="ro-RO"/>
        </w:rPr>
        <w:t>in accordance with Regulation No. 112/2018.</w:t>
      </w:r>
    </w:p>
    <w:p w14:paraId="534D1AB8" w14:textId="39257839" w:rsidR="009779FA" w:rsidRPr="00B85E4D" w:rsidRDefault="009779FA" w:rsidP="00B578C7">
      <w:pPr>
        <w:tabs>
          <w:tab w:val="left" w:pos="518"/>
        </w:tabs>
        <w:spacing w:after="0"/>
        <w:jc w:val="both"/>
        <w:rPr>
          <w:sz w:val="24"/>
          <w:szCs w:val="24"/>
          <w:lang w:val="en-GB"/>
        </w:rPr>
      </w:pPr>
    </w:p>
    <w:p w14:paraId="25F580C0" w14:textId="50DA3940" w:rsidR="00A67DA1" w:rsidRPr="0016198E" w:rsidRDefault="00A67DA1" w:rsidP="00A67DA1">
      <w:pPr>
        <w:tabs>
          <w:tab w:val="left" w:pos="518"/>
        </w:tabs>
        <w:spacing w:after="0"/>
        <w:jc w:val="center"/>
        <w:rPr>
          <w:b/>
          <w:bCs/>
          <w:sz w:val="24"/>
          <w:szCs w:val="24"/>
          <w:lang w:val="en-GB"/>
        </w:rPr>
      </w:pPr>
      <w:r w:rsidRPr="0016198E">
        <w:rPr>
          <w:b/>
          <w:bCs/>
          <w:sz w:val="24"/>
          <w:szCs w:val="24"/>
          <w:lang w:val="en-GB"/>
        </w:rPr>
        <w:t>Chapter VIII</w:t>
      </w:r>
    </w:p>
    <w:p w14:paraId="6D63ADC9" w14:textId="5ED32F01" w:rsidR="00A67DA1" w:rsidRPr="0016198E" w:rsidRDefault="00A67DA1" w:rsidP="00A67DA1">
      <w:pPr>
        <w:tabs>
          <w:tab w:val="left" w:pos="518"/>
        </w:tabs>
        <w:spacing w:after="0"/>
        <w:jc w:val="center"/>
        <w:rPr>
          <w:b/>
          <w:bCs/>
          <w:sz w:val="24"/>
          <w:szCs w:val="24"/>
          <w:lang w:val="en-GB"/>
        </w:rPr>
      </w:pPr>
      <w:r w:rsidRPr="0016198E">
        <w:rPr>
          <w:b/>
          <w:bCs/>
          <w:sz w:val="24"/>
          <w:szCs w:val="24"/>
          <w:lang w:val="en-GB"/>
        </w:rPr>
        <w:t>Own funds requirements for exposures</w:t>
      </w:r>
    </w:p>
    <w:p w14:paraId="7D95AE61" w14:textId="0376533B" w:rsidR="00A67DA1" w:rsidRPr="0016198E" w:rsidRDefault="00A67DA1" w:rsidP="00A67DA1">
      <w:pPr>
        <w:tabs>
          <w:tab w:val="left" w:pos="518"/>
        </w:tabs>
        <w:spacing w:after="0"/>
        <w:jc w:val="center"/>
        <w:rPr>
          <w:b/>
          <w:bCs/>
          <w:sz w:val="24"/>
          <w:szCs w:val="24"/>
          <w:lang w:val="en-GB"/>
        </w:rPr>
      </w:pPr>
      <w:r w:rsidRPr="0016198E">
        <w:rPr>
          <w:b/>
          <w:bCs/>
          <w:sz w:val="24"/>
          <w:szCs w:val="24"/>
          <w:lang w:val="en-GB"/>
        </w:rPr>
        <w:t>to a central counterparty</w:t>
      </w:r>
    </w:p>
    <w:p w14:paraId="2E977528" w14:textId="77777777" w:rsidR="00A67DA1" w:rsidRPr="00B85E4D" w:rsidRDefault="00A67DA1" w:rsidP="00A67DA1">
      <w:pPr>
        <w:tabs>
          <w:tab w:val="left" w:pos="518"/>
        </w:tabs>
        <w:spacing w:after="0"/>
        <w:jc w:val="center"/>
        <w:rPr>
          <w:b/>
          <w:bCs/>
          <w:sz w:val="24"/>
          <w:szCs w:val="24"/>
          <w:lang w:val="en-GB"/>
        </w:rPr>
      </w:pPr>
    </w:p>
    <w:p w14:paraId="640675CD" w14:textId="66BF2E19" w:rsidR="00A67DA1" w:rsidRPr="0016198E" w:rsidRDefault="00A67DA1" w:rsidP="00A67DA1">
      <w:pPr>
        <w:tabs>
          <w:tab w:val="left" w:pos="518"/>
        </w:tabs>
        <w:spacing w:after="0"/>
        <w:jc w:val="center"/>
        <w:rPr>
          <w:i/>
          <w:iCs/>
          <w:sz w:val="24"/>
          <w:szCs w:val="24"/>
          <w:lang w:val="en-GB"/>
        </w:rPr>
      </w:pPr>
      <w:r w:rsidRPr="0016198E">
        <w:rPr>
          <w:i/>
          <w:iCs/>
          <w:sz w:val="24"/>
          <w:szCs w:val="24"/>
          <w:lang w:val="en-GB"/>
        </w:rPr>
        <w:t>Section 1</w:t>
      </w:r>
    </w:p>
    <w:p w14:paraId="724FB0C0" w14:textId="0E45F65E" w:rsidR="00A67DA1" w:rsidRPr="0016198E" w:rsidRDefault="00A67DA1" w:rsidP="00A67DA1">
      <w:pPr>
        <w:tabs>
          <w:tab w:val="left" w:pos="518"/>
        </w:tabs>
        <w:spacing w:after="0"/>
        <w:jc w:val="center"/>
        <w:rPr>
          <w:b/>
          <w:bCs/>
          <w:sz w:val="24"/>
          <w:szCs w:val="24"/>
          <w:lang w:val="en-GB"/>
        </w:rPr>
      </w:pPr>
      <w:r w:rsidRPr="0016198E">
        <w:rPr>
          <w:b/>
          <w:bCs/>
          <w:sz w:val="24"/>
          <w:szCs w:val="24"/>
          <w:lang w:val="en-GB"/>
        </w:rPr>
        <w:t>Material Scope</w:t>
      </w:r>
    </w:p>
    <w:p w14:paraId="763CBD24" w14:textId="6C2A81E7" w:rsidR="00A67DA1" w:rsidRPr="00B85E4D" w:rsidRDefault="00A67DA1" w:rsidP="00A67DA1">
      <w:pPr>
        <w:tabs>
          <w:tab w:val="left" w:pos="518"/>
        </w:tabs>
        <w:spacing w:after="0"/>
        <w:jc w:val="both"/>
        <w:rPr>
          <w:sz w:val="24"/>
          <w:szCs w:val="24"/>
          <w:lang w:val="en-GB"/>
        </w:rPr>
      </w:pPr>
      <w:r w:rsidRPr="00B85E4D">
        <w:rPr>
          <w:b/>
          <w:bCs/>
          <w:sz w:val="24"/>
          <w:szCs w:val="24"/>
          <w:lang w:val="en-GB"/>
        </w:rPr>
        <w:t xml:space="preserve"> </w:t>
      </w:r>
    </w:p>
    <w:p w14:paraId="7F0A7338" w14:textId="2B780033" w:rsidR="00A67DA1" w:rsidRPr="00B85E4D" w:rsidRDefault="00A67DA1" w:rsidP="00B578C7">
      <w:pPr>
        <w:tabs>
          <w:tab w:val="left" w:pos="518"/>
        </w:tabs>
        <w:spacing w:after="0"/>
        <w:jc w:val="both"/>
        <w:rPr>
          <w:sz w:val="24"/>
          <w:szCs w:val="24"/>
          <w:lang w:val="en-GB"/>
        </w:rPr>
      </w:pPr>
      <w:r w:rsidRPr="00B85E4D">
        <w:rPr>
          <w:lang w:val="en-GB"/>
        </w:rPr>
        <w:tab/>
      </w:r>
      <w:r w:rsidRPr="00B85E4D">
        <w:rPr>
          <w:b/>
          <w:bCs/>
          <w:sz w:val="24"/>
          <w:szCs w:val="24"/>
          <w:lang w:val="en-GB"/>
        </w:rPr>
        <w:t>125.</w:t>
      </w:r>
      <w:r w:rsidRPr="00B85E4D">
        <w:rPr>
          <w:sz w:val="24"/>
          <w:szCs w:val="24"/>
          <w:lang w:val="en-GB"/>
        </w:rPr>
        <w:t xml:space="preserve"> This Section applies to the following contracts and transactions, for as long as they are outstanding with a CCP: </w:t>
      </w:r>
    </w:p>
    <w:p w14:paraId="6CF20C34" w14:textId="77777777" w:rsidR="00A67DA1" w:rsidRPr="00B85E4D" w:rsidRDefault="00A67DA1" w:rsidP="00B578C7">
      <w:pPr>
        <w:tabs>
          <w:tab w:val="left" w:pos="518"/>
        </w:tabs>
        <w:spacing w:after="0"/>
        <w:jc w:val="both"/>
        <w:rPr>
          <w:sz w:val="24"/>
          <w:szCs w:val="24"/>
          <w:lang w:val="en-GB"/>
        </w:rPr>
      </w:pPr>
      <w:r w:rsidRPr="00B85E4D">
        <w:rPr>
          <w:sz w:val="24"/>
          <w:szCs w:val="24"/>
          <w:lang w:val="en-GB"/>
        </w:rPr>
        <w:tab/>
        <w:t xml:space="preserve">125.1. the derivative contracts listed in Annex I to Regulation no.114/2018 and credit </w:t>
      </w:r>
      <w:proofErr w:type="gramStart"/>
      <w:r w:rsidRPr="00B85E4D">
        <w:rPr>
          <w:sz w:val="24"/>
          <w:szCs w:val="24"/>
          <w:lang w:val="en-GB"/>
        </w:rPr>
        <w:t>derivatives;</w:t>
      </w:r>
      <w:proofErr w:type="gramEnd"/>
      <w:r w:rsidRPr="00B85E4D">
        <w:rPr>
          <w:sz w:val="24"/>
          <w:szCs w:val="24"/>
          <w:lang w:val="en-GB"/>
        </w:rPr>
        <w:t xml:space="preserve"> </w:t>
      </w:r>
    </w:p>
    <w:p w14:paraId="5A7E733F" w14:textId="77777777" w:rsidR="00A67DA1" w:rsidRPr="00B85E4D" w:rsidRDefault="00A67DA1" w:rsidP="00B578C7">
      <w:pPr>
        <w:tabs>
          <w:tab w:val="left" w:pos="518"/>
        </w:tabs>
        <w:spacing w:after="0"/>
        <w:jc w:val="both"/>
        <w:rPr>
          <w:sz w:val="24"/>
          <w:szCs w:val="24"/>
          <w:lang w:val="en-GB"/>
        </w:rPr>
      </w:pPr>
      <w:r w:rsidRPr="00B85E4D">
        <w:rPr>
          <w:sz w:val="24"/>
          <w:szCs w:val="24"/>
          <w:lang w:val="en-GB"/>
        </w:rPr>
        <w:tab/>
        <w:t xml:space="preserve">125.2. securities financing transactions and fully guaranteed deposit lending or borrowing transactions; and </w:t>
      </w:r>
    </w:p>
    <w:p w14:paraId="345FABA3" w14:textId="77777777" w:rsidR="00A67DA1" w:rsidRPr="00B85E4D" w:rsidRDefault="00A67DA1" w:rsidP="00B578C7">
      <w:pPr>
        <w:tabs>
          <w:tab w:val="left" w:pos="518"/>
        </w:tabs>
        <w:spacing w:after="0"/>
        <w:jc w:val="both"/>
        <w:rPr>
          <w:sz w:val="24"/>
          <w:szCs w:val="24"/>
          <w:lang w:val="en-GB"/>
        </w:rPr>
      </w:pPr>
      <w:r w:rsidRPr="00B85E4D">
        <w:rPr>
          <w:sz w:val="24"/>
          <w:szCs w:val="24"/>
          <w:lang w:val="en-GB"/>
        </w:rPr>
        <w:tab/>
        <w:t xml:space="preserve">125.3. long settlement transactions. </w:t>
      </w:r>
    </w:p>
    <w:p w14:paraId="58DEE1B0" w14:textId="7C3B72EA" w:rsidR="00A67DA1" w:rsidRPr="00B85E4D" w:rsidRDefault="00A67DA1" w:rsidP="00B578C7">
      <w:pPr>
        <w:tabs>
          <w:tab w:val="left" w:pos="518"/>
        </w:tabs>
        <w:spacing w:after="0"/>
        <w:jc w:val="both"/>
        <w:rPr>
          <w:sz w:val="24"/>
          <w:szCs w:val="24"/>
          <w:lang w:val="en-GB"/>
        </w:rPr>
      </w:pPr>
      <w:r w:rsidRPr="00B85E4D">
        <w:rPr>
          <w:b/>
          <w:bCs/>
          <w:sz w:val="24"/>
          <w:szCs w:val="24"/>
          <w:lang w:val="en-GB"/>
        </w:rPr>
        <w:tab/>
        <w:t>126.</w:t>
      </w:r>
      <w:r w:rsidRPr="00B85E4D">
        <w:rPr>
          <w:sz w:val="24"/>
          <w:szCs w:val="24"/>
          <w:lang w:val="en-GB"/>
        </w:rPr>
        <w:t xml:space="preserve"> This Section does not apply to exposures arising from the settlement of cash transactions. B</w:t>
      </w:r>
      <w:r w:rsidR="00DA404B">
        <w:rPr>
          <w:sz w:val="24"/>
          <w:szCs w:val="24"/>
          <w:lang w:val="en-GB"/>
        </w:rPr>
        <w:t>a</w:t>
      </w:r>
      <w:r w:rsidRPr="00B85E4D">
        <w:rPr>
          <w:sz w:val="24"/>
          <w:szCs w:val="24"/>
          <w:lang w:val="en-GB"/>
        </w:rPr>
        <w:t>nks shall apply the treatment laid down Regulation on the treatment of settlement/delivery risk for banks, approved by Decision of the Executive Board of the National Bank of Moldova No. 115/2018, to trade exposures arising from those transactions and a 0 % risk weight to default fund contributions covering only those transactions. Ba</w:t>
      </w:r>
      <w:r w:rsidR="00DA404B">
        <w:rPr>
          <w:sz w:val="24"/>
          <w:szCs w:val="24"/>
          <w:lang w:val="en-GB"/>
        </w:rPr>
        <w:t>n</w:t>
      </w:r>
      <w:r w:rsidRPr="00B85E4D">
        <w:rPr>
          <w:sz w:val="24"/>
          <w:szCs w:val="24"/>
          <w:lang w:val="en-GB"/>
        </w:rPr>
        <w:t xml:space="preserve">ks shall apply the treatment set out in paragraph </w:t>
      </w:r>
      <w:proofErr w:type="gramStart"/>
      <w:r w:rsidRPr="00B85E4D">
        <w:rPr>
          <w:sz w:val="24"/>
          <w:szCs w:val="24"/>
          <w:lang w:val="en-GB"/>
        </w:rPr>
        <w:t>149  to</w:t>
      </w:r>
      <w:proofErr w:type="gramEnd"/>
      <w:r w:rsidRPr="00B85E4D">
        <w:rPr>
          <w:sz w:val="24"/>
          <w:szCs w:val="24"/>
          <w:lang w:val="en-GB"/>
        </w:rPr>
        <w:t xml:space="preserve"> default fund contributions that cover any of the contracts listed in Annex 1 to Regulation no.114/2018, in addition to cash transactions. </w:t>
      </w:r>
    </w:p>
    <w:p w14:paraId="1A576792" w14:textId="3FF2ACBE" w:rsidR="00A67DA1" w:rsidRPr="00B85E4D" w:rsidRDefault="00A67DA1" w:rsidP="00A67DA1">
      <w:pPr>
        <w:tabs>
          <w:tab w:val="left" w:pos="518"/>
        </w:tabs>
        <w:spacing w:after="0"/>
        <w:jc w:val="both"/>
        <w:rPr>
          <w:sz w:val="24"/>
          <w:szCs w:val="24"/>
          <w:lang w:val="en-GB"/>
        </w:rPr>
      </w:pPr>
      <w:r w:rsidRPr="00B85E4D">
        <w:rPr>
          <w:b/>
          <w:bCs/>
          <w:sz w:val="24"/>
          <w:szCs w:val="24"/>
          <w:lang w:val="en-GB"/>
        </w:rPr>
        <w:tab/>
        <w:t>127.</w:t>
      </w:r>
      <w:r w:rsidRPr="00B85E4D">
        <w:rPr>
          <w:sz w:val="24"/>
          <w:szCs w:val="24"/>
          <w:lang w:val="en-GB"/>
        </w:rPr>
        <w:t xml:space="preserve"> For the purposes of this Section, the following requirements shall apply: 127.1. the initial margin shall not include contributions to a CCP for mutualised loss sharing </w:t>
      </w:r>
      <w:proofErr w:type="gramStart"/>
      <w:r w:rsidRPr="00B85E4D">
        <w:rPr>
          <w:sz w:val="24"/>
          <w:szCs w:val="24"/>
          <w:lang w:val="en-GB"/>
        </w:rPr>
        <w:t>arrangements;</w:t>
      </w:r>
      <w:proofErr w:type="gramEnd"/>
      <w:r w:rsidRPr="00B85E4D">
        <w:rPr>
          <w:sz w:val="24"/>
          <w:szCs w:val="24"/>
          <w:lang w:val="en-GB"/>
        </w:rPr>
        <w:t xml:space="preserve"> </w:t>
      </w:r>
    </w:p>
    <w:p w14:paraId="50CCE977" w14:textId="33630C10" w:rsidR="00A67DA1" w:rsidRPr="00B85E4D" w:rsidRDefault="00A67DA1" w:rsidP="00B578C7">
      <w:pPr>
        <w:tabs>
          <w:tab w:val="left" w:pos="518"/>
        </w:tabs>
        <w:spacing w:after="0"/>
        <w:jc w:val="both"/>
        <w:rPr>
          <w:sz w:val="24"/>
          <w:szCs w:val="24"/>
          <w:lang w:val="en-GB"/>
        </w:rPr>
      </w:pPr>
      <w:r w:rsidRPr="00B85E4D">
        <w:rPr>
          <w:sz w:val="24"/>
          <w:szCs w:val="24"/>
          <w:lang w:val="en-GB"/>
        </w:rPr>
        <w:tab/>
        <w:t xml:space="preserve">127.2. the initial margin shall include collateral deposited by </w:t>
      </w:r>
      <w:r w:rsidR="004B7FF1" w:rsidRPr="00B85E4D">
        <w:rPr>
          <w:sz w:val="24"/>
          <w:szCs w:val="24"/>
          <w:lang w:val="en-GB"/>
        </w:rPr>
        <w:t>a bank</w:t>
      </w:r>
      <w:r w:rsidRPr="00B85E4D">
        <w:rPr>
          <w:sz w:val="24"/>
          <w:szCs w:val="24"/>
          <w:lang w:val="en-GB"/>
        </w:rPr>
        <w:t xml:space="preserve"> acting as a clearing member or by a client in excess of the minimum amount required respectively by the CCP or by the bank acting as a clearing member, provided the CCP or the bank acting as a clearing member may, in appropriate cases, prevent the bank acting as a clearing member or the client from withdrawing such excess </w:t>
      </w:r>
      <w:proofErr w:type="gramStart"/>
      <w:r w:rsidRPr="00B85E4D">
        <w:rPr>
          <w:sz w:val="24"/>
          <w:szCs w:val="24"/>
          <w:lang w:val="en-GB"/>
        </w:rPr>
        <w:t>collateral;</w:t>
      </w:r>
      <w:proofErr w:type="gramEnd"/>
      <w:r w:rsidRPr="00B85E4D">
        <w:rPr>
          <w:sz w:val="24"/>
          <w:szCs w:val="24"/>
          <w:lang w:val="en-GB"/>
        </w:rPr>
        <w:t xml:space="preserve"> </w:t>
      </w:r>
    </w:p>
    <w:p w14:paraId="33E44260" w14:textId="271A18D6" w:rsidR="009779FA" w:rsidRDefault="00A67DA1" w:rsidP="00B578C7">
      <w:pPr>
        <w:tabs>
          <w:tab w:val="left" w:pos="518"/>
        </w:tabs>
        <w:spacing w:after="0"/>
        <w:jc w:val="both"/>
        <w:rPr>
          <w:sz w:val="24"/>
          <w:szCs w:val="24"/>
          <w:lang w:val="en-GB"/>
        </w:rPr>
      </w:pPr>
      <w:r w:rsidRPr="00B85E4D">
        <w:rPr>
          <w:sz w:val="24"/>
          <w:szCs w:val="24"/>
          <w:lang w:val="en-GB"/>
        </w:rPr>
        <w:tab/>
        <w:t>127.3. where a CCP uses the initial margin to mutualise losses among its clearing members, banks that act as clearing members shall treat that initial margin as a default fund contribution.</w:t>
      </w:r>
    </w:p>
    <w:p w14:paraId="3981AFC9" w14:textId="77777777" w:rsidR="004C522D" w:rsidRPr="00B85E4D" w:rsidRDefault="004C522D" w:rsidP="00B578C7">
      <w:pPr>
        <w:tabs>
          <w:tab w:val="left" w:pos="518"/>
        </w:tabs>
        <w:spacing w:after="0"/>
        <w:jc w:val="both"/>
        <w:rPr>
          <w:sz w:val="24"/>
          <w:szCs w:val="24"/>
          <w:lang w:val="en-GB"/>
        </w:rPr>
      </w:pPr>
    </w:p>
    <w:p w14:paraId="01C55CC0" w14:textId="547E8FD5" w:rsidR="00A67DA1" w:rsidRPr="00B85E4D" w:rsidRDefault="00A67DA1" w:rsidP="00A67DA1">
      <w:pPr>
        <w:tabs>
          <w:tab w:val="left" w:pos="518"/>
        </w:tabs>
        <w:spacing w:after="0"/>
        <w:jc w:val="center"/>
        <w:rPr>
          <w:i/>
          <w:iCs/>
          <w:sz w:val="24"/>
          <w:szCs w:val="24"/>
          <w:lang w:val="en-GB"/>
        </w:rPr>
      </w:pPr>
      <w:r w:rsidRPr="00B85E4D">
        <w:rPr>
          <w:i/>
          <w:iCs/>
          <w:sz w:val="24"/>
          <w:szCs w:val="24"/>
          <w:lang w:val="en-GB"/>
        </w:rPr>
        <w:t>Section 2</w:t>
      </w:r>
    </w:p>
    <w:p w14:paraId="4DA8BC08" w14:textId="7BD320BA" w:rsidR="00A67DA1" w:rsidRPr="00B85E4D" w:rsidRDefault="00A67DA1" w:rsidP="00A67DA1">
      <w:pPr>
        <w:tabs>
          <w:tab w:val="left" w:pos="518"/>
        </w:tabs>
        <w:spacing w:after="0"/>
        <w:jc w:val="center"/>
        <w:rPr>
          <w:b/>
          <w:bCs/>
          <w:sz w:val="24"/>
          <w:szCs w:val="24"/>
          <w:lang w:val="en-GB"/>
        </w:rPr>
      </w:pPr>
      <w:r w:rsidRPr="00B85E4D">
        <w:rPr>
          <w:b/>
          <w:bCs/>
          <w:sz w:val="24"/>
          <w:szCs w:val="24"/>
          <w:lang w:val="en-GB"/>
        </w:rPr>
        <w:t>Monitoring of exposures to CCPs</w:t>
      </w:r>
    </w:p>
    <w:p w14:paraId="560E40A7" w14:textId="77777777" w:rsidR="00A67DA1" w:rsidRPr="00B85E4D" w:rsidRDefault="00A67DA1" w:rsidP="00B578C7">
      <w:pPr>
        <w:tabs>
          <w:tab w:val="left" w:pos="518"/>
        </w:tabs>
        <w:spacing w:after="0"/>
        <w:jc w:val="both"/>
        <w:rPr>
          <w:sz w:val="24"/>
          <w:szCs w:val="24"/>
          <w:lang w:val="en-GB"/>
        </w:rPr>
      </w:pPr>
    </w:p>
    <w:p w14:paraId="15B96AAC" w14:textId="1ACAAE3A" w:rsidR="00A67DA1" w:rsidRPr="00B85E4D" w:rsidRDefault="00A67DA1" w:rsidP="00B578C7">
      <w:pPr>
        <w:tabs>
          <w:tab w:val="left" w:pos="518"/>
        </w:tabs>
        <w:spacing w:after="0"/>
        <w:jc w:val="both"/>
        <w:rPr>
          <w:sz w:val="24"/>
          <w:szCs w:val="24"/>
          <w:lang w:val="en-GB"/>
        </w:rPr>
      </w:pPr>
      <w:r w:rsidRPr="00B85E4D">
        <w:rPr>
          <w:b/>
          <w:bCs/>
          <w:sz w:val="24"/>
          <w:szCs w:val="24"/>
          <w:lang w:val="en-GB"/>
        </w:rPr>
        <w:tab/>
        <w:t>128.</w:t>
      </w:r>
      <w:r w:rsidRPr="00B85E4D">
        <w:rPr>
          <w:sz w:val="24"/>
          <w:szCs w:val="24"/>
          <w:lang w:val="en-GB"/>
        </w:rPr>
        <w:t xml:space="preserve"> Ba</w:t>
      </w:r>
      <w:r w:rsidR="00DA404B">
        <w:rPr>
          <w:sz w:val="24"/>
          <w:szCs w:val="24"/>
          <w:lang w:val="en-GB"/>
        </w:rPr>
        <w:t>n</w:t>
      </w:r>
      <w:r w:rsidRPr="00B85E4D">
        <w:rPr>
          <w:sz w:val="24"/>
          <w:szCs w:val="24"/>
          <w:lang w:val="en-GB"/>
        </w:rPr>
        <w:t xml:space="preserve">ks shall monitor all their exposures to CCPs and shall lay down procedures for the regular reporting of information on those exposures to senior management and appropriate committee of the management body. </w:t>
      </w:r>
    </w:p>
    <w:p w14:paraId="2EF8BC32" w14:textId="2E70F014" w:rsidR="00A67DA1" w:rsidRPr="00B85E4D" w:rsidRDefault="00A67DA1" w:rsidP="00B578C7">
      <w:pPr>
        <w:tabs>
          <w:tab w:val="left" w:pos="518"/>
        </w:tabs>
        <w:spacing w:after="0"/>
        <w:jc w:val="both"/>
        <w:rPr>
          <w:sz w:val="24"/>
          <w:szCs w:val="24"/>
          <w:lang w:val="en-GB"/>
        </w:rPr>
      </w:pPr>
      <w:r w:rsidRPr="00B85E4D">
        <w:rPr>
          <w:b/>
          <w:bCs/>
          <w:sz w:val="24"/>
          <w:szCs w:val="24"/>
          <w:lang w:val="en-GB"/>
        </w:rPr>
        <w:tab/>
        <w:t>129.</w:t>
      </w:r>
      <w:r w:rsidRPr="00B85E4D">
        <w:rPr>
          <w:sz w:val="24"/>
          <w:szCs w:val="24"/>
          <w:lang w:val="en-GB"/>
        </w:rPr>
        <w:t xml:space="preserve"> Banks shall assess, through appropriate scenario analysis and stress testing, whether the level of own funds held against exposures to a CCP, including potential future or contingent credit exposures, exposures from default fund contributions and, where the </w:t>
      </w:r>
      <w:r w:rsidR="004B7FF1" w:rsidRPr="00B85E4D">
        <w:rPr>
          <w:sz w:val="24"/>
          <w:szCs w:val="24"/>
          <w:lang w:val="en-GB"/>
        </w:rPr>
        <w:t>bank</w:t>
      </w:r>
      <w:r w:rsidRPr="00B85E4D">
        <w:rPr>
          <w:sz w:val="24"/>
          <w:szCs w:val="24"/>
          <w:lang w:val="en-GB"/>
        </w:rPr>
        <w:t xml:space="preserve"> is acting as a clearing member, exposures resulting from contractual arrangements as laid down in paragraphs 132-139, adequately relates to the inherent risks of those exposures. </w:t>
      </w:r>
    </w:p>
    <w:p w14:paraId="3CB2C1E4" w14:textId="77777777" w:rsidR="00A67DA1" w:rsidRPr="00B85E4D" w:rsidRDefault="00A67DA1" w:rsidP="00B578C7">
      <w:pPr>
        <w:tabs>
          <w:tab w:val="left" w:pos="518"/>
        </w:tabs>
        <w:spacing w:after="0"/>
        <w:jc w:val="both"/>
        <w:rPr>
          <w:sz w:val="24"/>
          <w:szCs w:val="24"/>
          <w:lang w:val="en-GB"/>
        </w:rPr>
      </w:pPr>
    </w:p>
    <w:p w14:paraId="0F407DDD" w14:textId="77777777" w:rsidR="00A67DA1" w:rsidRPr="00B85E4D" w:rsidRDefault="00A67DA1" w:rsidP="00A67DA1">
      <w:pPr>
        <w:tabs>
          <w:tab w:val="left" w:pos="518"/>
        </w:tabs>
        <w:spacing w:after="0"/>
        <w:jc w:val="center"/>
        <w:rPr>
          <w:i/>
          <w:iCs/>
          <w:sz w:val="24"/>
          <w:szCs w:val="24"/>
          <w:lang w:val="en-GB"/>
        </w:rPr>
      </w:pPr>
      <w:r w:rsidRPr="00B85E4D">
        <w:rPr>
          <w:i/>
          <w:iCs/>
          <w:sz w:val="24"/>
          <w:szCs w:val="24"/>
          <w:lang w:val="en-GB"/>
        </w:rPr>
        <w:t>Section 3</w:t>
      </w:r>
    </w:p>
    <w:p w14:paraId="0C6FFD06" w14:textId="13AC2BE6" w:rsidR="00A67DA1" w:rsidRPr="00B85E4D" w:rsidRDefault="00A67DA1" w:rsidP="00A67DA1">
      <w:pPr>
        <w:tabs>
          <w:tab w:val="left" w:pos="518"/>
        </w:tabs>
        <w:spacing w:after="0"/>
        <w:jc w:val="center"/>
        <w:rPr>
          <w:b/>
          <w:bCs/>
          <w:sz w:val="24"/>
          <w:szCs w:val="24"/>
          <w:lang w:val="en-GB"/>
        </w:rPr>
      </w:pPr>
      <w:r w:rsidRPr="00B85E4D">
        <w:rPr>
          <w:b/>
          <w:bCs/>
          <w:sz w:val="24"/>
          <w:szCs w:val="24"/>
          <w:lang w:val="en-GB"/>
        </w:rPr>
        <w:t>Treatment of clearing members' exposures to CCPs</w:t>
      </w:r>
    </w:p>
    <w:p w14:paraId="3ACC67E2" w14:textId="77777777" w:rsidR="000F45E3" w:rsidRPr="00B85E4D" w:rsidRDefault="00A67DA1"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130.</w:t>
      </w:r>
      <w:r w:rsidRPr="00B85E4D">
        <w:rPr>
          <w:sz w:val="24"/>
          <w:szCs w:val="24"/>
          <w:lang w:val="en-GB"/>
        </w:rPr>
        <w:t xml:space="preserve"> A bank that acts as a clearing member, either for its own purposes or as a financial intermediary between a client and a CCP, shall calculate the own funds requirements for its exposures to a CCP as follows: </w:t>
      </w:r>
    </w:p>
    <w:p w14:paraId="7BC5BF83" w14:textId="52FC2F70" w:rsidR="000F45E3" w:rsidRPr="00B85E4D" w:rsidRDefault="000F45E3" w:rsidP="00B578C7">
      <w:pPr>
        <w:tabs>
          <w:tab w:val="left" w:pos="518"/>
        </w:tabs>
        <w:spacing w:after="0"/>
        <w:jc w:val="both"/>
        <w:rPr>
          <w:sz w:val="24"/>
          <w:szCs w:val="24"/>
          <w:lang w:val="en-GB"/>
        </w:rPr>
      </w:pPr>
      <w:r w:rsidRPr="00B85E4D">
        <w:rPr>
          <w:sz w:val="24"/>
          <w:szCs w:val="24"/>
          <w:lang w:val="en-GB"/>
        </w:rPr>
        <w:lastRenderedPageBreak/>
        <w:tab/>
        <w:t xml:space="preserve">130.1. </w:t>
      </w:r>
      <w:r w:rsidR="00A67DA1" w:rsidRPr="00B85E4D">
        <w:rPr>
          <w:sz w:val="24"/>
          <w:szCs w:val="24"/>
          <w:lang w:val="en-GB"/>
        </w:rPr>
        <w:t xml:space="preserve">it shall apply the treatment set out in </w:t>
      </w:r>
      <w:r w:rsidRPr="00B85E4D">
        <w:rPr>
          <w:sz w:val="24"/>
          <w:szCs w:val="24"/>
          <w:lang w:val="en-GB"/>
        </w:rPr>
        <w:t>paragraphs 145-148</w:t>
      </w:r>
      <w:r w:rsidR="00A67DA1" w:rsidRPr="00B85E4D">
        <w:rPr>
          <w:sz w:val="24"/>
          <w:szCs w:val="24"/>
          <w:lang w:val="en-GB"/>
        </w:rPr>
        <w:t xml:space="preserve"> to its trade exposures with the </w:t>
      </w:r>
      <w:proofErr w:type="gramStart"/>
      <w:r w:rsidR="00A67DA1" w:rsidRPr="00B85E4D">
        <w:rPr>
          <w:sz w:val="24"/>
          <w:szCs w:val="24"/>
          <w:lang w:val="en-GB"/>
        </w:rPr>
        <w:t>CCP;</w:t>
      </w:r>
      <w:proofErr w:type="gramEnd"/>
      <w:r w:rsidR="00A67DA1" w:rsidRPr="00B85E4D">
        <w:rPr>
          <w:sz w:val="24"/>
          <w:szCs w:val="24"/>
          <w:lang w:val="en-GB"/>
        </w:rPr>
        <w:t xml:space="preserve"> </w:t>
      </w:r>
    </w:p>
    <w:p w14:paraId="77C98DE6" w14:textId="77777777" w:rsidR="000F45E3" w:rsidRPr="00B85E4D" w:rsidRDefault="000F45E3" w:rsidP="00B578C7">
      <w:pPr>
        <w:tabs>
          <w:tab w:val="left" w:pos="518"/>
        </w:tabs>
        <w:spacing w:after="0"/>
        <w:jc w:val="both"/>
        <w:rPr>
          <w:sz w:val="24"/>
          <w:szCs w:val="24"/>
          <w:lang w:val="en-GB"/>
        </w:rPr>
      </w:pPr>
      <w:r w:rsidRPr="00B85E4D">
        <w:rPr>
          <w:sz w:val="24"/>
          <w:szCs w:val="24"/>
          <w:lang w:val="en-GB"/>
        </w:rPr>
        <w:tab/>
        <w:t>130.2.</w:t>
      </w:r>
      <w:r w:rsidR="00A67DA1" w:rsidRPr="00B85E4D">
        <w:rPr>
          <w:sz w:val="24"/>
          <w:szCs w:val="24"/>
          <w:lang w:val="en-GB"/>
        </w:rPr>
        <w:t xml:space="preserve"> it shall apply the treatment set out in </w:t>
      </w:r>
      <w:r w:rsidRPr="00B85E4D">
        <w:rPr>
          <w:sz w:val="24"/>
          <w:szCs w:val="24"/>
          <w:lang w:val="en-GB"/>
        </w:rPr>
        <w:t>paragraph 149</w:t>
      </w:r>
      <w:r w:rsidR="00A67DA1" w:rsidRPr="00B85E4D">
        <w:rPr>
          <w:sz w:val="24"/>
          <w:szCs w:val="24"/>
          <w:lang w:val="en-GB"/>
        </w:rPr>
        <w:t xml:space="preserve"> to its default fund contributions to the CCP. </w:t>
      </w:r>
    </w:p>
    <w:p w14:paraId="5B3D736E" w14:textId="02A2F276" w:rsidR="00A67DA1" w:rsidRPr="00B85E4D" w:rsidRDefault="000F45E3"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131.</w:t>
      </w:r>
      <w:r w:rsidRPr="00B85E4D">
        <w:rPr>
          <w:sz w:val="24"/>
          <w:szCs w:val="24"/>
          <w:lang w:val="en-GB"/>
        </w:rPr>
        <w:t xml:space="preserve"> </w:t>
      </w:r>
      <w:r w:rsidR="00A67DA1" w:rsidRPr="00B85E4D">
        <w:rPr>
          <w:sz w:val="24"/>
          <w:szCs w:val="24"/>
          <w:lang w:val="en-GB"/>
        </w:rPr>
        <w:t>For the purposes of paragraph 1</w:t>
      </w:r>
      <w:r w:rsidRPr="00B85E4D">
        <w:rPr>
          <w:sz w:val="24"/>
          <w:szCs w:val="24"/>
          <w:lang w:val="en-GB"/>
        </w:rPr>
        <w:t>30</w:t>
      </w:r>
      <w:r w:rsidR="00A67DA1" w:rsidRPr="00B85E4D">
        <w:rPr>
          <w:sz w:val="24"/>
          <w:szCs w:val="24"/>
          <w:lang w:val="en-GB"/>
        </w:rPr>
        <w:t xml:space="preserve">, the sum of </w:t>
      </w:r>
      <w:r w:rsidR="00F4223D" w:rsidRPr="00B85E4D">
        <w:rPr>
          <w:sz w:val="24"/>
          <w:szCs w:val="24"/>
          <w:lang w:val="en-GB"/>
        </w:rPr>
        <w:t>a bank’s</w:t>
      </w:r>
      <w:r w:rsidR="00A67DA1" w:rsidRPr="00B85E4D">
        <w:rPr>
          <w:sz w:val="24"/>
          <w:szCs w:val="24"/>
          <w:lang w:val="en-GB"/>
        </w:rPr>
        <w:t xml:space="preserve"> own funds requirements for its exposures to a QCCP due to trade exposures and default fund contributions shall be subject to a cap equal to the sum of own funds requirements that would be applied to those same exposures if the CCP were a non-qualifying CCP.</w:t>
      </w:r>
    </w:p>
    <w:p w14:paraId="25C6497C" w14:textId="7C4FF4B2" w:rsidR="009E42BA" w:rsidRPr="00B85E4D" w:rsidRDefault="009779FA" w:rsidP="00B578C7">
      <w:pPr>
        <w:tabs>
          <w:tab w:val="left" w:pos="518"/>
        </w:tabs>
        <w:spacing w:after="0"/>
        <w:jc w:val="both"/>
        <w:rPr>
          <w:sz w:val="24"/>
          <w:szCs w:val="24"/>
          <w:lang w:val="en-GB"/>
        </w:rPr>
      </w:pPr>
      <w:r w:rsidRPr="00B85E4D">
        <w:rPr>
          <w:sz w:val="24"/>
          <w:szCs w:val="24"/>
          <w:lang w:val="en-GB"/>
        </w:rPr>
        <w:t xml:space="preserve"> </w:t>
      </w:r>
    </w:p>
    <w:p w14:paraId="5B77A818" w14:textId="52A34149" w:rsidR="000F45E3" w:rsidRPr="00B85E4D" w:rsidRDefault="000F45E3" w:rsidP="000F45E3">
      <w:pPr>
        <w:tabs>
          <w:tab w:val="left" w:pos="518"/>
        </w:tabs>
        <w:spacing w:after="0"/>
        <w:jc w:val="center"/>
        <w:rPr>
          <w:i/>
          <w:iCs/>
          <w:sz w:val="24"/>
          <w:szCs w:val="24"/>
          <w:lang w:val="en-GB"/>
        </w:rPr>
      </w:pPr>
      <w:r w:rsidRPr="00B85E4D">
        <w:rPr>
          <w:i/>
          <w:iCs/>
          <w:sz w:val="24"/>
          <w:szCs w:val="24"/>
          <w:lang w:val="en-GB"/>
        </w:rPr>
        <w:t>Section 4</w:t>
      </w:r>
    </w:p>
    <w:p w14:paraId="0938D99B" w14:textId="5C0C7033" w:rsidR="000F45E3" w:rsidRPr="00B85E4D" w:rsidRDefault="000F45E3" w:rsidP="000F45E3">
      <w:pPr>
        <w:tabs>
          <w:tab w:val="left" w:pos="518"/>
        </w:tabs>
        <w:spacing w:after="0"/>
        <w:jc w:val="center"/>
        <w:rPr>
          <w:rFonts w:cs="Times New Roman"/>
          <w:b/>
          <w:bCs/>
          <w:sz w:val="24"/>
          <w:szCs w:val="24"/>
          <w:lang w:val="en-GB"/>
        </w:rPr>
      </w:pPr>
      <w:r w:rsidRPr="00B85E4D">
        <w:rPr>
          <w:rFonts w:cs="Times New Roman"/>
          <w:b/>
          <w:bCs/>
          <w:sz w:val="24"/>
          <w:szCs w:val="24"/>
          <w:lang w:val="en-GB"/>
        </w:rPr>
        <w:t>Treatment of clearing members' exposures to clients</w:t>
      </w:r>
    </w:p>
    <w:p w14:paraId="0754C85C" w14:textId="63ECE496" w:rsidR="000F45E3" w:rsidRPr="00B85E4D" w:rsidRDefault="000F45E3"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132.</w:t>
      </w:r>
      <w:r w:rsidRPr="00B85E4D">
        <w:rPr>
          <w:rFonts w:cs="Times New Roman"/>
          <w:sz w:val="24"/>
          <w:szCs w:val="24"/>
          <w:lang w:val="en-GB"/>
        </w:rPr>
        <w:t xml:space="preserve"> </w:t>
      </w:r>
      <w:r w:rsidR="00F4223D" w:rsidRPr="00B85E4D">
        <w:rPr>
          <w:rFonts w:cs="Times New Roman"/>
          <w:sz w:val="24"/>
          <w:szCs w:val="24"/>
          <w:lang w:val="en-GB"/>
        </w:rPr>
        <w:t>A bank</w:t>
      </w:r>
      <w:r w:rsidRPr="00B85E4D">
        <w:rPr>
          <w:rFonts w:cs="Times New Roman"/>
          <w:sz w:val="24"/>
          <w:szCs w:val="24"/>
          <w:lang w:val="en-GB"/>
        </w:rPr>
        <w:t xml:space="preserve"> that acts as a clearing member and, in that capacity, acts as a financial intermediary between a client and a CCP shall calculate the own funds requirements for its CCP-related transactions with that client in accordance with Chapters I to VII, with the provisions of Regulation No. 112/2018 and Regulation No. 103/2020, as applicable.  </w:t>
      </w:r>
    </w:p>
    <w:p w14:paraId="428D227B" w14:textId="7073F16B" w:rsidR="009E42BA" w:rsidRPr="00B85E4D" w:rsidRDefault="000F45E3"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133.</w:t>
      </w:r>
      <w:r w:rsidRPr="00B85E4D">
        <w:rPr>
          <w:rFonts w:cs="Times New Roman"/>
          <w:sz w:val="24"/>
          <w:szCs w:val="24"/>
          <w:lang w:val="en-GB"/>
        </w:rPr>
        <w:t xml:space="preserve"> Where </w:t>
      </w:r>
      <w:r w:rsidR="00F4223D" w:rsidRPr="00B85E4D">
        <w:rPr>
          <w:rFonts w:cs="Times New Roman"/>
          <w:sz w:val="24"/>
          <w:szCs w:val="24"/>
          <w:lang w:val="en-GB"/>
        </w:rPr>
        <w:t>a bank</w:t>
      </w:r>
      <w:r w:rsidRPr="00B85E4D">
        <w:rPr>
          <w:rFonts w:cs="Times New Roman"/>
          <w:sz w:val="24"/>
          <w:szCs w:val="24"/>
          <w:lang w:val="en-GB"/>
        </w:rPr>
        <w:t xml:space="preserve"> acting as a clearing member </w:t>
      </w:r>
      <w:proofErr w:type="gramStart"/>
      <w:r w:rsidRPr="00B85E4D">
        <w:rPr>
          <w:rFonts w:cs="Times New Roman"/>
          <w:sz w:val="24"/>
          <w:szCs w:val="24"/>
          <w:lang w:val="en-GB"/>
        </w:rPr>
        <w:t>enters into</w:t>
      </w:r>
      <w:proofErr w:type="gramEnd"/>
      <w:r w:rsidRPr="00B85E4D">
        <w:rPr>
          <w:rFonts w:cs="Times New Roman"/>
          <w:sz w:val="24"/>
          <w:szCs w:val="24"/>
          <w:lang w:val="en-GB"/>
        </w:rPr>
        <w:t xml:space="preserve"> a contractual arrangement with a client of another clearing member that facilitates, the transfer of positions and collateral referred to in paragraph 141, subparagraph 141.2. for that client, and that contractual agreement gives rise to a contingent obligation for that </w:t>
      </w:r>
      <w:r w:rsidR="004B7FF1" w:rsidRPr="00B85E4D">
        <w:rPr>
          <w:rFonts w:cs="Times New Roman"/>
          <w:sz w:val="24"/>
          <w:szCs w:val="24"/>
          <w:lang w:val="en-GB"/>
        </w:rPr>
        <w:t>bank</w:t>
      </w:r>
      <w:r w:rsidRPr="00B85E4D">
        <w:rPr>
          <w:rFonts w:cs="Times New Roman"/>
          <w:sz w:val="24"/>
          <w:szCs w:val="24"/>
          <w:lang w:val="en-GB"/>
        </w:rPr>
        <w:t xml:space="preserve">, that </w:t>
      </w:r>
      <w:r w:rsidR="004B7FF1" w:rsidRPr="00B85E4D">
        <w:rPr>
          <w:rFonts w:cs="Times New Roman"/>
          <w:sz w:val="24"/>
          <w:szCs w:val="24"/>
          <w:lang w:val="en-GB"/>
        </w:rPr>
        <w:t>bank</w:t>
      </w:r>
      <w:r w:rsidRPr="00B85E4D">
        <w:rPr>
          <w:rFonts w:cs="Times New Roman"/>
          <w:sz w:val="24"/>
          <w:szCs w:val="24"/>
          <w:lang w:val="en-GB"/>
        </w:rPr>
        <w:t xml:space="preserve"> may attribute an exposure value of zero to that contingent obligation.</w:t>
      </w:r>
    </w:p>
    <w:p w14:paraId="68E31D7F" w14:textId="77777777" w:rsidR="000F45E3" w:rsidRPr="00B85E4D" w:rsidRDefault="000F45E3" w:rsidP="00B578C7">
      <w:pPr>
        <w:tabs>
          <w:tab w:val="left" w:pos="518"/>
        </w:tabs>
        <w:spacing w:after="0"/>
        <w:jc w:val="both"/>
        <w:rPr>
          <w:rFonts w:cs="Times New Roman"/>
          <w:sz w:val="24"/>
          <w:szCs w:val="24"/>
          <w:lang w:val="en-GB"/>
        </w:rPr>
      </w:pPr>
      <w:r w:rsidRPr="00B85E4D">
        <w:rPr>
          <w:rFonts w:cs="Times New Roman"/>
          <w:b/>
          <w:bCs/>
          <w:sz w:val="24"/>
          <w:szCs w:val="24"/>
          <w:lang w:val="en-GB"/>
        </w:rPr>
        <w:tab/>
        <w:t>134.</w:t>
      </w:r>
      <w:r w:rsidRPr="00B85E4D">
        <w:rPr>
          <w:rFonts w:cs="Times New Roman"/>
          <w:sz w:val="24"/>
          <w:szCs w:val="24"/>
          <w:lang w:val="en-GB"/>
        </w:rPr>
        <w:t xml:space="preserve"> Where a bank that acts as a clearing member uses the methods set out in Chapter III to calculate the own funds requirement for its exposures, the following provisions shall apply: </w:t>
      </w:r>
    </w:p>
    <w:p w14:paraId="06528E82" w14:textId="74D50668" w:rsidR="000F45E3" w:rsidRPr="00B85E4D" w:rsidRDefault="003E4DB9" w:rsidP="00B578C7">
      <w:pPr>
        <w:tabs>
          <w:tab w:val="left" w:pos="518"/>
        </w:tabs>
        <w:spacing w:after="0"/>
        <w:jc w:val="both"/>
        <w:rPr>
          <w:rFonts w:cs="Times New Roman"/>
          <w:sz w:val="24"/>
          <w:szCs w:val="24"/>
          <w:lang w:val="en-GB"/>
        </w:rPr>
      </w:pPr>
      <w:r w:rsidRPr="00B85E4D">
        <w:rPr>
          <w:rFonts w:cs="Times New Roman"/>
          <w:sz w:val="24"/>
          <w:szCs w:val="24"/>
          <w:lang w:val="en-GB"/>
        </w:rPr>
        <w:tab/>
      </w:r>
      <w:r w:rsidR="000F45E3" w:rsidRPr="00B85E4D">
        <w:rPr>
          <w:rFonts w:cs="Times New Roman"/>
          <w:sz w:val="24"/>
          <w:szCs w:val="24"/>
          <w:lang w:val="en-GB"/>
        </w:rPr>
        <w:t xml:space="preserve">134.1. the bank may use a margin period of risk of at least five business days for its exposures to a </w:t>
      </w:r>
      <w:proofErr w:type="gramStart"/>
      <w:r w:rsidR="000F45E3" w:rsidRPr="00B85E4D">
        <w:rPr>
          <w:rFonts w:cs="Times New Roman"/>
          <w:sz w:val="24"/>
          <w:szCs w:val="24"/>
          <w:lang w:val="en-GB"/>
        </w:rPr>
        <w:t>client;</w:t>
      </w:r>
      <w:proofErr w:type="gramEnd"/>
      <w:r w:rsidR="000F45E3" w:rsidRPr="00B85E4D">
        <w:rPr>
          <w:rFonts w:cs="Times New Roman"/>
          <w:sz w:val="24"/>
          <w:szCs w:val="24"/>
          <w:lang w:val="en-GB"/>
        </w:rPr>
        <w:t xml:space="preserve"> </w:t>
      </w:r>
    </w:p>
    <w:p w14:paraId="1C3D152F" w14:textId="2B63B29A" w:rsidR="003E4DB9" w:rsidRPr="00B85E4D" w:rsidRDefault="003E4DB9" w:rsidP="00B578C7">
      <w:pPr>
        <w:tabs>
          <w:tab w:val="left" w:pos="518"/>
        </w:tabs>
        <w:spacing w:after="0"/>
        <w:jc w:val="both"/>
        <w:rPr>
          <w:rFonts w:cs="Times New Roman"/>
          <w:sz w:val="24"/>
          <w:szCs w:val="24"/>
          <w:lang w:val="en-GB"/>
        </w:rPr>
      </w:pPr>
      <w:r w:rsidRPr="00B85E4D">
        <w:rPr>
          <w:rFonts w:cs="Times New Roman"/>
          <w:sz w:val="24"/>
          <w:szCs w:val="24"/>
          <w:lang w:val="en-GB"/>
        </w:rPr>
        <w:tab/>
      </w:r>
      <w:r w:rsidR="000F45E3" w:rsidRPr="00B85E4D">
        <w:rPr>
          <w:rFonts w:cs="Times New Roman"/>
          <w:sz w:val="24"/>
          <w:szCs w:val="24"/>
          <w:lang w:val="en-GB"/>
        </w:rPr>
        <w:t xml:space="preserve">134.2. the bank shall apply a margin period of risk of at least 10 business days for its exposures to a </w:t>
      </w:r>
      <w:proofErr w:type="gramStart"/>
      <w:r w:rsidR="000F45E3" w:rsidRPr="00B85E4D">
        <w:rPr>
          <w:rFonts w:cs="Times New Roman"/>
          <w:sz w:val="24"/>
          <w:szCs w:val="24"/>
          <w:lang w:val="en-GB"/>
        </w:rPr>
        <w:t>CCP;</w:t>
      </w:r>
      <w:proofErr w:type="gramEnd"/>
      <w:r w:rsidR="000F45E3" w:rsidRPr="00B85E4D">
        <w:rPr>
          <w:rFonts w:cs="Times New Roman"/>
          <w:sz w:val="24"/>
          <w:szCs w:val="24"/>
          <w:lang w:val="en-GB"/>
        </w:rPr>
        <w:t xml:space="preserve"> </w:t>
      </w:r>
    </w:p>
    <w:p w14:paraId="7AEF32B1" w14:textId="29913C4A" w:rsidR="003E4DB9" w:rsidRPr="00B85E4D" w:rsidRDefault="003E4DB9" w:rsidP="00B578C7">
      <w:pPr>
        <w:tabs>
          <w:tab w:val="left" w:pos="518"/>
        </w:tabs>
        <w:spacing w:after="0"/>
        <w:jc w:val="both"/>
        <w:rPr>
          <w:rFonts w:cs="Times New Roman"/>
          <w:sz w:val="24"/>
          <w:szCs w:val="24"/>
          <w:lang w:val="en-GB"/>
        </w:rPr>
      </w:pPr>
      <w:r w:rsidRPr="00B85E4D">
        <w:rPr>
          <w:rFonts w:cs="Times New Roman"/>
          <w:sz w:val="24"/>
          <w:szCs w:val="24"/>
          <w:lang w:val="en-GB"/>
        </w:rPr>
        <w:tab/>
        <w:t xml:space="preserve">134.3. </w:t>
      </w:r>
      <w:r w:rsidR="000F45E3" w:rsidRPr="00B85E4D">
        <w:rPr>
          <w:rFonts w:cs="Times New Roman"/>
          <w:sz w:val="24"/>
          <w:szCs w:val="24"/>
          <w:lang w:val="en-GB"/>
        </w:rPr>
        <w:t xml:space="preserve">where a netting set included in the calculation meets the condition set out in </w:t>
      </w:r>
      <w:r w:rsidRPr="00B85E4D">
        <w:rPr>
          <w:rFonts w:cs="Times New Roman"/>
          <w:sz w:val="24"/>
          <w:szCs w:val="24"/>
          <w:lang w:val="en-GB"/>
        </w:rPr>
        <w:t>subparagraph 134.1</w:t>
      </w:r>
      <w:r w:rsidR="000F45E3" w:rsidRPr="00B85E4D">
        <w:rPr>
          <w:rFonts w:cs="Times New Roman"/>
          <w:sz w:val="24"/>
          <w:szCs w:val="24"/>
          <w:lang w:val="en-GB"/>
        </w:rPr>
        <w:t xml:space="preserve">, the </w:t>
      </w:r>
      <w:r w:rsidRPr="00B85E4D">
        <w:rPr>
          <w:rFonts w:cs="Times New Roman"/>
          <w:sz w:val="24"/>
          <w:szCs w:val="24"/>
          <w:lang w:val="en-GB"/>
        </w:rPr>
        <w:t>bank</w:t>
      </w:r>
      <w:r w:rsidR="000F45E3" w:rsidRPr="00B85E4D">
        <w:rPr>
          <w:rFonts w:cs="Times New Roman"/>
          <w:sz w:val="24"/>
          <w:szCs w:val="24"/>
          <w:lang w:val="en-GB"/>
        </w:rPr>
        <w:t xml:space="preserve"> may disregard the limit set out in that point, provided that the netting set does not meet the condition set out in </w:t>
      </w:r>
      <w:r w:rsidR="00F4223D" w:rsidRPr="00B85E4D">
        <w:rPr>
          <w:rFonts w:cs="Times New Roman"/>
          <w:sz w:val="24"/>
          <w:szCs w:val="24"/>
          <w:lang w:val="en-GB"/>
        </w:rPr>
        <w:t>subparagraph</w:t>
      </w:r>
      <w:r w:rsidRPr="00B85E4D">
        <w:rPr>
          <w:rFonts w:cs="Times New Roman"/>
          <w:sz w:val="24"/>
          <w:szCs w:val="24"/>
          <w:lang w:val="en-GB"/>
        </w:rPr>
        <w:t xml:space="preserve"> 134.2</w:t>
      </w:r>
      <w:r w:rsidR="000F45E3" w:rsidRPr="00B85E4D">
        <w:rPr>
          <w:rFonts w:cs="Times New Roman"/>
          <w:sz w:val="24"/>
          <w:szCs w:val="24"/>
          <w:lang w:val="en-GB"/>
        </w:rPr>
        <w:t xml:space="preserve"> and does not contain disputed trades or exotic </w:t>
      </w:r>
      <w:proofErr w:type="gramStart"/>
      <w:r w:rsidR="000F45E3" w:rsidRPr="00B85E4D">
        <w:rPr>
          <w:rFonts w:cs="Times New Roman"/>
          <w:sz w:val="24"/>
          <w:szCs w:val="24"/>
          <w:lang w:val="en-GB"/>
        </w:rPr>
        <w:t>options;</w:t>
      </w:r>
      <w:proofErr w:type="gramEnd"/>
      <w:r w:rsidR="000F45E3" w:rsidRPr="00B85E4D">
        <w:rPr>
          <w:rFonts w:cs="Times New Roman"/>
          <w:sz w:val="24"/>
          <w:szCs w:val="24"/>
          <w:lang w:val="en-GB"/>
        </w:rPr>
        <w:t xml:space="preserve"> </w:t>
      </w:r>
    </w:p>
    <w:p w14:paraId="41453CD9" w14:textId="1CC49C5D" w:rsidR="003E4DB9" w:rsidRPr="00B85E4D" w:rsidRDefault="003E4DB9" w:rsidP="00B578C7">
      <w:pPr>
        <w:tabs>
          <w:tab w:val="left" w:pos="518"/>
        </w:tabs>
        <w:spacing w:after="0"/>
        <w:jc w:val="both"/>
        <w:rPr>
          <w:rFonts w:cs="Times New Roman"/>
          <w:sz w:val="24"/>
          <w:szCs w:val="24"/>
          <w:lang w:val="en-GB"/>
        </w:rPr>
      </w:pPr>
      <w:r w:rsidRPr="00B85E4D">
        <w:rPr>
          <w:rFonts w:cs="Times New Roman"/>
          <w:sz w:val="24"/>
          <w:szCs w:val="24"/>
          <w:lang w:val="en-GB"/>
        </w:rPr>
        <w:tab/>
        <w:t xml:space="preserve">134.4. </w:t>
      </w:r>
      <w:r w:rsidR="000F45E3" w:rsidRPr="00B85E4D">
        <w:rPr>
          <w:rFonts w:cs="Times New Roman"/>
          <w:sz w:val="24"/>
          <w:szCs w:val="24"/>
          <w:lang w:val="en-GB"/>
        </w:rPr>
        <w:t xml:space="preserve">where a CCP retains variation margin against a transaction, and the </w:t>
      </w:r>
      <w:r w:rsidR="004B7FF1" w:rsidRPr="00B85E4D">
        <w:rPr>
          <w:rFonts w:cs="Times New Roman"/>
          <w:sz w:val="24"/>
          <w:szCs w:val="24"/>
          <w:lang w:val="en-GB"/>
        </w:rPr>
        <w:t>bank</w:t>
      </w:r>
      <w:r w:rsidR="000F45E3" w:rsidRPr="00B85E4D">
        <w:rPr>
          <w:rFonts w:cs="Times New Roman"/>
          <w:sz w:val="24"/>
          <w:szCs w:val="24"/>
          <w:lang w:val="en-GB"/>
        </w:rPr>
        <w:t xml:space="preserve">'s collateral is not protected against the insolvency of the CCP, the </w:t>
      </w:r>
      <w:r w:rsidRPr="00B85E4D">
        <w:rPr>
          <w:rFonts w:cs="Times New Roman"/>
          <w:sz w:val="24"/>
          <w:szCs w:val="24"/>
          <w:lang w:val="en-GB"/>
        </w:rPr>
        <w:t>bank</w:t>
      </w:r>
      <w:r w:rsidR="000F45E3" w:rsidRPr="00B85E4D">
        <w:rPr>
          <w:rFonts w:cs="Times New Roman"/>
          <w:sz w:val="24"/>
          <w:szCs w:val="24"/>
          <w:lang w:val="en-GB"/>
        </w:rPr>
        <w:t xml:space="preserve"> shall apply a margin period of risk that is the lower of one year and the remaining maturity of the transaction, with a floor of 10 business days. </w:t>
      </w:r>
    </w:p>
    <w:p w14:paraId="2C68271F" w14:textId="799AB29B" w:rsidR="003E4DB9" w:rsidRPr="00B85E4D" w:rsidRDefault="003E4DB9"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135.</w:t>
      </w:r>
      <w:r w:rsidRPr="00B85E4D">
        <w:rPr>
          <w:rFonts w:cs="Times New Roman"/>
          <w:sz w:val="24"/>
          <w:szCs w:val="24"/>
          <w:lang w:val="en-GB"/>
        </w:rPr>
        <w:t xml:space="preserve"> </w:t>
      </w:r>
      <w:r w:rsidR="000F45E3" w:rsidRPr="00B85E4D">
        <w:rPr>
          <w:rFonts w:cs="Times New Roman"/>
          <w:sz w:val="24"/>
          <w:szCs w:val="24"/>
          <w:lang w:val="en-GB"/>
        </w:rPr>
        <w:t xml:space="preserve">By way of derogation from </w:t>
      </w:r>
      <w:r w:rsidRPr="00B85E4D">
        <w:rPr>
          <w:rFonts w:cs="Times New Roman"/>
          <w:sz w:val="24"/>
          <w:szCs w:val="24"/>
          <w:lang w:val="en-GB"/>
        </w:rPr>
        <w:t>paragraph 100, subparagraph 100.9.,</w:t>
      </w:r>
      <w:r w:rsidR="000F45E3" w:rsidRPr="00B85E4D">
        <w:rPr>
          <w:rFonts w:cs="Times New Roman"/>
          <w:sz w:val="24"/>
          <w:szCs w:val="24"/>
          <w:lang w:val="en-GB"/>
        </w:rPr>
        <w:t xml:space="preserve"> where </w:t>
      </w:r>
      <w:r w:rsidRPr="00B85E4D">
        <w:rPr>
          <w:rFonts w:cs="Times New Roman"/>
          <w:sz w:val="24"/>
          <w:szCs w:val="24"/>
          <w:lang w:val="en-GB"/>
        </w:rPr>
        <w:t>a bank</w:t>
      </w:r>
      <w:r w:rsidR="000F45E3" w:rsidRPr="00B85E4D">
        <w:rPr>
          <w:rFonts w:cs="Times New Roman"/>
          <w:sz w:val="24"/>
          <w:szCs w:val="24"/>
          <w:lang w:val="en-GB"/>
        </w:rPr>
        <w:t xml:space="preserve"> that acts as a clearing member uses the method set out in </w:t>
      </w:r>
      <w:r w:rsidRPr="00B85E4D">
        <w:rPr>
          <w:rFonts w:cs="Times New Roman"/>
          <w:sz w:val="24"/>
          <w:szCs w:val="24"/>
          <w:lang w:val="en-GB"/>
        </w:rPr>
        <w:t>Chapter IV</w:t>
      </w:r>
      <w:r w:rsidR="000F45E3" w:rsidRPr="00B85E4D">
        <w:rPr>
          <w:rFonts w:cs="Times New Roman"/>
          <w:sz w:val="24"/>
          <w:szCs w:val="24"/>
          <w:lang w:val="en-GB"/>
        </w:rPr>
        <w:t xml:space="preserve"> to calculate the own funds requirement for its exposures to a client, the </w:t>
      </w:r>
      <w:r w:rsidR="00865CE4" w:rsidRPr="00B85E4D">
        <w:rPr>
          <w:rFonts w:cs="Times New Roman"/>
          <w:sz w:val="24"/>
          <w:szCs w:val="24"/>
          <w:lang w:val="en-GB"/>
        </w:rPr>
        <w:t>bank</w:t>
      </w:r>
      <w:r w:rsidR="000F45E3" w:rsidRPr="00B85E4D">
        <w:rPr>
          <w:rFonts w:cs="Times New Roman"/>
          <w:sz w:val="24"/>
          <w:szCs w:val="24"/>
          <w:lang w:val="en-GB"/>
        </w:rPr>
        <w:t xml:space="preserve"> may use a maturity factor of 0,21 for its calculation. </w:t>
      </w:r>
    </w:p>
    <w:p w14:paraId="1F5D3F1A" w14:textId="3F25B102" w:rsidR="000F45E3" w:rsidRPr="00B85E4D" w:rsidRDefault="003E4DB9" w:rsidP="00B578C7">
      <w:pPr>
        <w:tabs>
          <w:tab w:val="left" w:pos="518"/>
        </w:tabs>
        <w:spacing w:after="0"/>
        <w:jc w:val="both"/>
        <w:rPr>
          <w:rFonts w:cs="Times New Roman"/>
          <w:sz w:val="24"/>
          <w:szCs w:val="24"/>
          <w:lang w:val="en-GB"/>
        </w:rPr>
      </w:pPr>
      <w:r w:rsidRPr="00B85E4D">
        <w:rPr>
          <w:rFonts w:cs="Times New Roman"/>
          <w:b/>
          <w:bCs/>
          <w:sz w:val="24"/>
          <w:szCs w:val="24"/>
          <w:lang w:val="en-GB"/>
        </w:rPr>
        <w:tab/>
        <w:t>136.</w:t>
      </w:r>
      <w:r w:rsidRPr="00B85E4D">
        <w:rPr>
          <w:rFonts w:cs="Times New Roman"/>
          <w:sz w:val="24"/>
          <w:szCs w:val="24"/>
          <w:lang w:val="en-GB"/>
        </w:rPr>
        <w:t xml:space="preserve"> </w:t>
      </w:r>
      <w:r w:rsidR="000F45E3" w:rsidRPr="00B85E4D">
        <w:rPr>
          <w:rFonts w:cs="Times New Roman"/>
          <w:sz w:val="24"/>
          <w:szCs w:val="24"/>
          <w:lang w:val="en-GB"/>
        </w:rPr>
        <w:t xml:space="preserve">By way of derogation from </w:t>
      </w:r>
      <w:r w:rsidRPr="00B85E4D">
        <w:rPr>
          <w:rFonts w:cs="Times New Roman"/>
          <w:sz w:val="24"/>
          <w:szCs w:val="24"/>
          <w:lang w:val="en-GB"/>
        </w:rPr>
        <w:t>paragraph 104, subparagraph 104.4.</w:t>
      </w:r>
      <w:r w:rsidR="000F45E3" w:rsidRPr="00B85E4D">
        <w:rPr>
          <w:rFonts w:cs="Times New Roman"/>
          <w:sz w:val="24"/>
          <w:szCs w:val="24"/>
          <w:lang w:val="en-GB"/>
        </w:rPr>
        <w:t xml:space="preserve">, where </w:t>
      </w:r>
      <w:r w:rsidRPr="00B85E4D">
        <w:rPr>
          <w:rFonts w:cs="Times New Roman"/>
          <w:sz w:val="24"/>
          <w:szCs w:val="24"/>
          <w:lang w:val="en-GB"/>
        </w:rPr>
        <w:t>a bank</w:t>
      </w:r>
      <w:r w:rsidR="000F45E3" w:rsidRPr="00B85E4D">
        <w:rPr>
          <w:rFonts w:cs="Times New Roman"/>
          <w:sz w:val="24"/>
          <w:szCs w:val="24"/>
          <w:lang w:val="en-GB"/>
        </w:rPr>
        <w:t xml:space="preserve"> that acts as a clearing member uses the method set out in </w:t>
      </w:r>
      <w:r w:rsidRPr="00B85E4D">
        <w:rPr>
          <w:rFonts w:cs="Times New Roman"/>
          <w:sz w:val="24"/>
          <w:szCs w:val="24"/>
          <w:lang w:val="en-GB"/>
        </w:rPr>
        <w:t>Chapter V</w:t>
      </w:r>
      <w:r w:rsidR="000F45E3" w:rsidRPr="00B85E4D">
        <w:rPr>
          <w:rFonts w:cs="Times New Roman"/>
          <w:sz w:val="24"/>
          <w:szCs w:val="24"/>
          <w:lang w:val="en-GB"/>
        </w:rPr>
        <w:t xml:space="preserve"> to calculate the own funds requirement for its exposures to a client, that </w:t>
      </w:r>
      <w:r w:rsidR="00865CE4" w:rsidRPr="00B85E4D">
        <w:rPr>
          <w:rFonts w:cs="Times New Roman"/>
          <w:sz w:val="24"/>
          <w:szCs w:val="24"/>
          <w:lang w:val="en-GB"/>
        </w:rPr>
        <w:t>bank</w:t>
      </w:r>
      <w:r w:rsidR="000F45E3" w:rsidRPr="00B85E4D">
        <w:rPr>
          <w:rFonts w:cs="Times New Roman"/>
          <w:sz w:val="24"/>
          <w:szCs w:val="24"/>
          <w:lang w:val="en-GB"/>
        </w:rPr>
        <w:t xml:space="preserve"> may use a maturity factor of 0,21 in that calculation</w:t>
      </w:r>
    </w:p>
    <w:p w14:paraId="0BB3F6A5" w14:textId="1D569ED8" w:rsidR="003E4DB9" w:rsidRPr="00B85E4D" w:rsidRDefault="003E4DB9"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137.</w:t>
      </w:r>
      <w:r w:rsidRPr="00B85E4D">
        <w:rPr>
          <w:rFonts w:cs="Times New Roman"/>
          <w:sz w:val="24"/>
          <w:szCs w:val="24"/>
          <w:lang w:val="en-GB"/>
        </w:rPr>
        <w:t xml:space="preserve"> </w:t>
      </w:r>
      <w:r w:rsidR="000F45E3" w:rsidRPr="00B85E4D">
        <w:rPr>
          <w:rFonts w:cs="Times New Roman"/>
          <w:sz w:val="24"/>
          <w:szCs w:val="24"/>
          <w:lang w:val="en-GB"/>
        </w:rPr>
        <w:t>A</w:t>
      </w:r>
      <w:r w:rsidRPr="00B85E4D">
        <w:rPr>
          <w:rFonts w:cs="Times New Roman"/>
          <w:sz w:val="24"/>
          <w:szCs w:val="24"/>
          <w:lang w:val="en-GB"/>
        </w:rPr>
        <w:t xml:space="preserve"> bank </w:t>
      </w:r>
      <w:r w:rsidR="000F45E3" w:rsidRPr="00B85E4D">
        <w:rPr>
          <w:rFonts w:cs="Times New Roman"/>
          <w:sz w:val="24"/>
          <w:szCs w:val="24"/>
          <w:lang w:val="en-GB"/>
        </w:rPr>
        <w:t xml:space="preserve">that acts as a clearing member may use the reduced exposure at default resulting from the calculations set out in paragraphs </w:t>
      </w:r>
      <w:r w:rsidRPr="00B85E4D">
        <w:rPr>
          <w:rFonts w:cs="Times New Roman"/>
          <w:sz w:val="24"/>
          <w:szCs w:val="24"/>
          <w:lang w:val="en-GB"/>
        </w:rPr>
        <w:t>134-136</w:t>
      </w:r>
      <w:r w:rsidR="000F45E3" w:rsidRPr="00B85E4D">
        <w:rPr>
          <w:rFonts w:cs="Times New Roman"/>
          <w:sz w:val="24"/>
          <w:szCs w:val="24"/>
          <w:lang w:val="en-GB"/>
        </w:rPr>
        <w:t xml:space="preserve"> for the purposes of calculating its own funds requirements for CVA risk in accordance with </w:t>
      </w:r>
      <w:r w:rsidRPr="00B85E4D">
        <w:rPr>
          <w:rFonts w:cs="Times New Roman"/>
          <w:sz w:val="24"/>
          <w:szCs w:val="24"/>
          <w:lang w:val="en-GB"/>
        </w:rPr>
        <w:t>Regu</w:t>
      </w:r>
      <w:r w:rsidR="00F4223D" w:rsidRPr="00B85E4D">
        <w:rPr>
          <w:rFonts w:cs="Times New Roman"/>
          <w:sz w:val="24"/>
          <w:szCs w:val="24"/>
          <w:lang w:val="en-GB"/>
        </w:rPr>
        <w:t>l</w:t>
      </w:r>
      <w:r w:rsidRPr="00B85E4D">
        <w:rPr>
          <w:rFonts w:cs="Times New Roman"/>
          <w:sz w:val="24"/>
          <w:szCs w:val="24"/>
          <w:lang w:val="en-GB"/>
        </w:rPr>
        <w:t>ation no.103/2020.</w:t>
      </w:r>
    </w:p>
    <w:p w14:paraId="36CD7B71" w14:textId="66F8BC6E" w:rsidR="003E4DB9" w:rsidRPr="00B85E4D" w:rsidRDefault="003E4DB9" w:rsidP="00B578C7">
      <w:pPr>
        <w:tabs>
          <w:tab w:val="left" w:pos="518"/>
        </w:tabs>
        <w:spacing w:after="0"/>
        <w:jc w:val="both"/>
        <w:rPr>
          <w:rFonts w:cs="Times New Roman"/>
          <w:sz w:val="24"/>
          <w:szCs w:val="24"/>
          <w:lang w:val="en-GB"/>
        </w:rPr>
      </w:pPr>
      <w:r w:rsidRPr="00B85E4D">
        <w:rPr>
          <w:rFonts w:cs="Times New Roman"/>
          <w:b/>
          <w:bCs/>
          <w:sz w:val="24"/>
          <w:szCs w:val="24"/>
          <w:lang w:val="en-GB"/>
        </w:rPr>
        <w:tab/>
        <w:t>138.</w:t>
      </w:r>
      <w:r w:rsidRPr="00B85E4D">
        <w:rPr>
          <w:rFonts w:cs="Times New Roman"/>
          <w:sz w:val="24"/>
          <w:szCs w:val="24"/>
          <w:lang w:val="en-GB"/>
        </w:rPr>
        <w:t xml:space="preserve"> </w:t>
      </w:r>
      <w:r w:rsidR="000F45E3" w:rsidRPr="00B85E4D">
        <w:rPr>
          <w:rFonts w:cs="Times New Roman"/>
          <w:sz w:val="24"/>
          <w:szCs w:val="24"/>
          <w:lang w:val="en-GB"/>
        </w:rPr>
        <w:t>A</w:t>
      </w:r>
      <w:r w:rsidRPr="00B85E4D">
        <w:rPr>
          <w:rFonts w:cs="Times New Roman"/>
          <w:sz w:val="24"/>
          <w:szCs w:val="24"/>
          <w:lang w:val="en-GB"/>
        </w:rPr>
        <w:t xml:space="preserve"> bank </w:t>
      </w:r>
      <w:r w:rsidR="000F45E3" w:rsidRPr="00B85E4D">
        <w:rPr>
          <w:rFonts w:cs="Times New Roman"/>
          <w:sz w:val="24"/>
          <w:szCs w:val="24"/>
          <w:lang w:val="en-GB"/>
        </w:rPr>
        <w:t xml:space="preserve">that acts as a clearing member that collects collateral from a client for a CCP-related transaction and passes the collateral on to the CCP may recognise that collateral to reduce its exposure to the client for that CCP-related transaction. </w:t>
      </w:r>
    </w:p>
    <w:p w14:paraId="1201A3FE" w14:textId="36FB6FB1" w:rsidR="000F45E3" w:rsidRPr="00B85E4D" w:rsidRDefault="003E4DB9" w:rsidP="00B578C7">
      <w:pPr>
        <w:tabs>
          <w:tab w:val="left" w:pos="518"/>
        </w:tabs>
        <w:spacing w:after="0"/>
        <w:jc w:val="both"/>
        <w:rPr>
          <w:rFonts w:cs="Times New Roman"/>
          <w:sz w:val="24"/>
          <w:szCs w:val="24"/>
          <w:lang w:val="en-GB"/>
        </w:rPr>
      </w:pPr>
      <w:r w:rsidRPr="00B85E4D">
        <w:rPr>
          <w:rFonts w:cs="Times New Roman"/>
          <w:b/>
          <w:bCs/>
          <w:sz w:val="24"/>
          <w:szCs w:val="24"/>
          <w:lang w:val="en-GB"/>
        </w:rPr>
        <w:tab/>
        <w:t>139.</w:t>
      </w:r>
      <w:r w:rsidRPr="00B85E4D">
        <w:rPr>
          <w:rFonts w:cs="Times New Roman"/>
          <w:sz w:val="24"/>
          <w:szCs w:val="24"/>
          <w:lang w:val="en-GB"/>
        </w:rPr>
        <w:t xml:space="preserve"> </w:t>
      </w:r>
      <w:r w:rsidR="000F45E3" w:rsidRPr="00B85E4D">
        <w:rPr>
          <w:rFonts w:cs="Times New Roman"/>
          <w:sz w:val="24"/>
          <w:szCs w:val="24"/>
          <w:lang w:val="en-GB"/>
        </w:rPr>
        <w:t>In the case of a multi-level client structure, the treatment set out in the first subparagraph may be applied at each level of that structure.</w:t>
      </w:r>
    </w:p>
    <w:p w14:paraId="1678E525" w14:textId="77777777" w:rsidR="003E4DB9" w:rsidRPr="00B85E4D" w:rsidRDefault="003E4DB9" w:rsidP="00B578C7">
      <w:pPr>
        <w:tabs>
          <w:tab w:val="left" w:pos="518"/>
        </w:tabs>
        <w:spacing w:after="0"/>
        <w:jc w:val="both"/>
        <w:rPr>
          <w:rFonts w:cs="Times New Roman"/>
          <w:sz w:val="24"/>
          <w:szCs w:val="24"/>
          <w:lang w:val="en-GB"/>
        </w:rPr>
      </w:pPr>
    </w:p>
    <w:p w14:paraId="2B10ECFB" w14:textId="77777777" w:rsidR="003E4DB9" w:rsidRPr="00B85E4D" w:rsidRDefault="003E4DB9" w:rsidP="003E4DB9">
      <w:pPr>
        <w:tabs>
          <w:tab w:val="left" w:pos="518"/>
        </w:tabs>
        <w:spacing w:after="0"/>
        <w:jc w:val="center"/>
        <w:rPr>
          <w:rFonts w:cs="Times New Roman"/>
          <w:i/>
          <w:iCs/>
          <w:sz w:val="24"/>
          <w:szCs w:val="24"/>
          <w:lang w:val="en-GB"/>
        </w:rPr>
      </w:pPr>
      <w:r w:rsidRPr="00B85E4D">
        <w:rPr>
          <w:rFonts w:cs="Times New Roman"/>
          <w:i/>
          <w:iCs/>
          <w:sz w:val="24"/>
          <w:szCs w:val="24"/>
          <w:lang w:val="en-GB"/>
        </w:rPr>
        <w:t>Section 5</w:t>
      </w:r>
    </w:p>
    <w:p w14:paraId="1FE82BB3" w14:textId="2F90DE8A" w:rsidR="003E4DB9" w:rsidRPr="00B85E4D" w:rsidRDefault="000F45E3" w:rsidP="00F4223D">
      <w:pPr>
        <w:tabs>
          <w:tab w:val="left" w:pos="518"/>
        </w:tabs>
        <w:spacing w:after="0"/>
        <w:jc w:val="center"/>
        <w:rPr>
          <w:rFonts w:cs="Times New Roman"/>
          <w:b/>
          <w:bCs/>
          <w:sz w:val="24"/>
          <w:szCs w:val="24"/>
          <w:lang w:val="en-GB"/>
        </w:rPr>
      </w:pPr>
      <w:r w:rsidRPr="00B85E4D">
        <w:rPr>
          <w:rFonts w:cs="Times New Roman"/>
          <w:b/>
          <w:bCs/>
          <w:sz w:val="24"/>
          <w:szCs w:val="24"/>
          <w:lang w:val="en-GB"/>
        </w:rPr>
        <w:t>Treatment of clients' exposure</w:t>
      </w:r>
    </w:p>
    <w:p w14:paraId="50312202" w14:textId="2E0F13C3" w:rsidR="003E4DB9" w:rsidRPr="00B85E4D" w:rsidRDefault="00F4223D" w:rsidP="00B578C7">
      <w:pPr>
        <w:tabs>
          <w:tab w:val="left" w:pos="518"/>
        </w:tabs>
        <w:spacing w:after="0"/>
        <w:jc w:val="both"/>
        <w:rPr>
          <w:rFonts w:cs="Times New Roman"/>
          <w:sz w:val="24"/>
          <w:szCs w:val="24"/>
          <w:lang w:val="en-GB"/>
        </w:rPr>
      </w:pPr>
      <w:r w:rsidRPr="00B85E4D">
        <w:rPr>
          <w:rFonts w:cs="Times New Roman"/>
          <w:b/>
          <w:bCs/>
          <w:sz w:val="24"/>
          <w:szCs w:val="24"/>
          <w:lang w:val="en-GB"/>
        </w:rPr>
        <w:lastRenderedPageBreak/>
        <w:tab/>
      </w:r>
      <w:r w:rsidR="003E4DB9" w:rsidRPr="00B85E4D">
        <w:rPr>
          <w:rFonts w:cs="Times New Roman"/>
          <w:b/>
          <w:bCs/>
          <w:sz w:val="24"/>
          <w:szCs w:val="24"/>
          <w:lang w:val="en-GB"/>
        </w:rPr>
        <w:t>140.</w:t>
      </w:r>
      <w:r w:rsidR="003E4DB9" w:rsidRPr="00B85E4D">
        <w:rPr>
          <w:rFonts w:cs="Times New Roman"/>
          <w:sz w:val="24"/>
          <w:szCs w:val="24"/>
          <w:lang w:val="en-GB"/>
        </w:rPr>
        <w:t xml:space="preserve"> </w:t>
      </w:r>
      <w:r w:rsidRPr="00B85E4D">
        <w:rPr>
          <w:rFonts w:cs="Times New Roman"/>
          <w:sz w:val="24"/>
          <w:szCs w:val="24"/>
          <w:lang w:val="en-GB"/>
        </w:rPr>
        <w:t>A bank</w:t>
      </w:r>
      <w:r w:rsidR="000F45E3" w:rsidRPr="00B85E4D">
        <w:rPr>
          <w:rFonts w:cs="Times New Roman"/>
          <w:sz w:val="24"/>
          <w:szCs w:val="24"/>
          <w:lang w:val="en-GB"/>
        </w:rPr>
        <w:t xml:space="preserve"> that is a client shall calculate the own funds requirements for its CCP-related transactions with its clearing member in accordance with Chapter</w:t>
      </w:r>
      <w:r w:rsidR="003E4DB9" w:rsidRPr="00B85E4D">
        <w:rPr>
          <w:rFonts w:cs="Times New Roman"/>
          <w:sz w:val="24"/>
          <w:szCs w:val="24"/>
          <w:lang w:val="en-GB"/>
        </w:rPr>
        <w:t>s I-VII</w:t>
      </w:r>
      <w:r w:rsidR="000F45E3" w:rsidRPr="00B85E4D">
        <w:rPr>
          <w:rFonts w:cs="Times New Roman"/>
          <w:sz w:val="24"/>
          <w:szCs w:val="24"/>
          <w:lang w:val="en-GB"/>
        </w:rPr>
        <w:t xml:space="preserve">, </w:t>
      </w:r>
      <w:r w:rsidR="003E4DB9" w:rsidRPr="00B85E4D">
        <w:rPr>
          <w:sz w:val="24"/>
          <w:szCs w:val="24"/>
          <w:lang w:val="en-GB"/>
        </w:rPr>
        <w:t>in accordance with the provisions of Regulation No. 112/2018 and Regulation No. 103/2020, as applicable</w:t>
      </w:r>
      <w:r w:rsidR="000F45E3" w:rsidRPr="00B85E4D">
        <w:rPr>
          <w:rFonts w:cs="Times New Roman"/>
          <w:sz w:val="24"/>
          <w:szCs w:val="24"/>
          <w:lang w:val="en-GB"/>
        </w:rPr>
        <w:t xml:space="preserve">. </w:t>
      </w:r>
    </w:p>
    <w:p w14:paraId="01937F59" w14:textId="77777777" w:rsidR="00F4223D" w:rsidRPr="00B85E4D" w:rsidRDefault="00F4223D"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141.</w:t>
      </w:r>
      <w:r w:rsidRPr="00B85E4D">
        <w:rPr>
          <w:rFonts w:cs="Times New Roman"/>
          <w:sz w:val="24"/>
          <w:szCs w:val="24"/>
          <w:lang w:val="en-GB"/>
        </w:rPr>
        <w:t xml:space="preserve"> </w:t>
      </w:r>
      <w:r w:rsidR="000F45E3" w:rsidRPr="00B85E4D">
        <w:rPr>
          <w:rFonts w:cs="Times New Roman"/>
          <w:sz w:val="24"/>
          <w:szCs w:val="24"/>
          <w:lang w:val="en-GB"/>
        </w:rPr>
        <w:t>Without prejudice to the approach specified in paragraph 1</w:t>
      </w:r>
      <w:r w:rsidRPr="00B85E4D">
        <w:rPr>
          <w:rFonts w:cs="Times New Roman"/>
          <w:sz w:val="24"/>
          <w:szCs w:val="24"/>
          <w:lang w:val="en-GB"/>
        </w:rPr>
        <w:t>40</w:t>
      </w:r>
      <w:r w:rsidR="000F45E3" w:rsidRPr="00B85E4D">
        <w:rPr>
          <w:rFonts w:cs="Times New Roman"/>
          <w:sz w:val="24"/>
          <w:szCs w:val="24"/>
          <w:lang w:val="en-GB"/>
        </w:rPr>
        <w:t xml:space="preserve">, where </w:t>
      </w:r>
      <w:r w:rsidRPr="00B85E4D">
        <w:rPr>
          <w:rFonts w:cs="Times New Roman"/>
          <w:sz w:val="24"/>
          <w:szCs w:val="24"/>
          <w:lang w:val="en-GB"/>
        </w:rPr>
        <w:t>a bank</w:t>
      </w:r>
      <w:r w:rsidR="000F45E3" w:rsidRPr="00B85E4D">
        <w:rPr>
          <w:rFonts w:cs="Times New Roman"/>
          <w:sz w:val="24"/>
          <w:szCs w:val="24"/>
          <w:lang w:val="en-GB"/>
        </w:rPr>
        <w:t xml:space="preserve"> is a client, it may calculate the own funds requirements for its trade exposures for CCP-related transactions with its clearing member in accordance with </w:t>
      </w:r>
      <w:r w:rsidRPr="00B85E4D">
        <w:rPr>
          <w:rFonts w:cs="Times New Roman"/>
          <w:sz w:val="24"/>
          <w:szCs w:val="24"/>
          <w:lang w:val="en-GB"/>
        </w:rPr>
        <w:t>paragraphs 145-148,</w:t>
      </w:r>
      <w:r w:rsidR="000F45E3" w:rsidRPr="00B85E4D">
        <w:rPr>
          <w:rFonts w:cs="Times New Roman"/>
          <w:sz w:val="24"/>
          <w:szCs w:val="24"/>
          <w:lang w:val="en-GB"/>
        </w:rPr>
        <w:t xml:space="preserve"> provided that all the following conditions are met: </w:t>
      </w:r>
    </w:p>
    <w:p w14:paraId="17344F0F" w14:textId="6D82143A" w:rsidR="00F4223D" w:rsidRPr="00B85E4D" w:rsidRDefault="00F4223D" w:rsidP="00B578C7">
      <w:pPr>
        <w:tabs>
          <w:tab w:val="left" w:pos="518"/>
        </w:tabs>
        <w:spacing w:after="0"/>
        <w:jc w:val="both"/>
        <w:rPr>
          <w:rFonts w:cs="Times New Roman"/>
          <w:sz w:val="24"/>
          <w:szCs w:val="24"/>
          <w:lang w:val="en-GB"/>
        </w:rPr>
      </w:pPr>
      <w:r w:rsidRPr="00B85E4D">
        <w:rPr>
          <w:rFonts w:cs="Times New Roman"/>
          <w:sz w:val="24"/>
          <w:szCs w:val="24"/>
          <w:lang w:val="en-GB"/>
        </w:rPr>
        <w:tab/>
        <w:t xml:space="preserve">141.1. </w:t>
      </w:r>
      <w:r w:rsidR="000F45E3" w:rsidRPr="00B85E4D">
        <w:rPr>
          <w:rFonts w:cs="Times New Roman"/>
          <w:sz w:val="24"/>
          <w:szCs w:val="24"/>
          <w:lang w:val="en-GB"/>
        </w:rPr>
        <w:t xml:space="preserve">the positions and assets of that </w:t>
      </w:r>
      <w:r w:rsidRPr="00B85E4D">
        <w:rPr>
          <w:rFonts w:cs="Times New Roman"/>
          <w:sz w:val="24"/>
          <w:szCs w:val="24"/>
          <w:lang w:val="en-GB"/>
        </w:rPr>
        <w:t>bank</w:t>
      </w:r>
      <w:r w:rsidR="000F45E3" w:rsidRPr="00B85E4D">
        <w:rPr>
          <w:rFonts w:cs="Times New Roman"/>
          <w:sz w:val="24"/>
          <w:szCs w:val="24"/>
          <w:lang w:val="en-GB"/>
        </w:rPr>
        <w:t xml:space="preserve"> related to those transactions are distinguished and segregated, at the level of both the clearing member and the CCP, from the positions and assets of both the clearing member and the other clients of that clearing member and as a result of that distinction and segregation those positions and assets are bankruptcy remote in the event of the default or insolvency of the clearing member or one or more of its other clients; </w:t>
      </w:r>
    </w:p>
    <w:p w14:paraId="559A867E" w14:textId="77777777" w:rsidR="00F4223D" w:rsidRPr="00B85E4D" w:rsidRDefault="00F4223D" w:rsidP="00B578C7">
      <w:pPr>
        <w:tabs>
          <w:tab w:val="left" w:pos="518"/>
        </w:tabs>
        <w:spacing w:after="0"/>
        <w:jc w:val="both"/>
        <w:rPr>
          <w:rFonts w:cs="Times New Roman"/>
          <w:sz w:val="24"/>
          <w:szCs w:val="24"/>
          <w:lang w:val="en-GB"/>
        </w:rPr>
      </w:pPr>
      <w:r w:rsidRPr="00B85E4D">
        <w:rPr>
          <w:rFonts w:cs="Times New Roman"/>
          <w:sz w:val="24"/>
          <w:szCs w:val="24"/>
          <w:lang w:val="en-GB"/>
        </w:rPr>
        <w:tab/>
        <w:t xml:space="preserve">141.2. </w:t>
      </w:r>
      <w:r w:rsidR="000F45E3" w:rsidRPr="00B85E4D">
        <w:rPr>
          <w:rFonts w:cs="Times New Roman"/>
          <w:sz w:val="24"/>
          <w:szCs w:val="24"/>
          <w:lang w:val="en-GB"/>
        </w:rPr>
        <w:t xml:space="preserve">laws, regulations, </w:t>
      </w:r>
      <w:proofErr w:type="gramStart"/>
      <w:r w:rsidR="000F45E3" w:rsidRPr="00B85E4D">
        <w:rPr>
          <w:rFonts w:cs="Times New Roman"/>
          <w:sz w:val="24"/>
          <w:szCs w:val="24"/>
          <w:lang w:val="en-GB"/>
        </w:rPr>
        <w:t>rules</w:t>
      </w:r>
      <w:proofErr w:type="gramEnd"/>
      <w:r w:rsidR="000F45E3" w:rsidRPr="00B85E4D">
        <w:rPr>
          <w:rFonts w:cs="Times New Roman"/>
          <w:sz w:val="24"/>
          <w:szCs w:val="24"/>
          <w:lang w:val="en-GB"/>
        </w:rPr>
        <w:t xml:space="preserve"> and contractual arrangements applicable to or binding that </w:t>
      </w:r>
      <w:r w:rsidRPr="00B85E4D">
        <w:rPr>
          <w:rFonts w:cs="Times New Roman"/>
          <w:sz w:val="24"/>
          <w:szCs w:val="24"/>
          <w:lang w:val="en-GB"/>
        </w:rPr>
        <w:t>bank</w:t>
      </w:r>
      <w:r w:rsidR="000F45E3" w:rsidRPr="00B85E4D">
        <w:rPr>
          <w:rFonts w:cs="Times New Roman"/>
          <w:sz w:val="24"/>
          <w:szCs w:val="24"/>
          <w:lang w:val="en-GB"/>
        </w:rPr>
        <w:t xml:space="preserve"> or the CCP facilitate the transfer of the client's positions relating to those contracts and transactions and of the corresponding collateral to another clearing member within the applicable margin period of risk in the event of default or insolvency of the original clearing member. In such circumstance, the client's positions and the collateral shall be transferred at market value unless the client requests to close out the position at market </w:t>
      </w:r>
      <w:proofErr w:type="gramStart"/>
      <w:r w:rsidR="000F45E3" w:rsidRPr="00B85E4D">
        <w:rPr>
          <w:rFonts w:cs="Times New Roman"/>
          <w:sz w:val="24"/>
          <w:szCs w:val="24"/>
          <w:lang w:val="en-GB"/>
        </w:rPr>
        <w:t>value;</w:t>
      </w:r>
      <w:proofErr w:type="gramEnd"/>
      <w:r w:rsidR="000F45E3" w:rsidRPr="00B85E4D">
        <w:rPr>
          <w:rFonts w:cs="Times New Roman"/>
          <w:sz w:val="24"/>
          <w:szCs w:val="24"/>
          <w:lang w:val="en-GB"/>
        </w:rPr>
        <w:t xml:space="preserve"> </w:t>
      </w:r>
    </w:p>
    <w:p w14:paraId="05EA03E4" w14:textId="77777777" w:rsidR="00F4223D" w:rsidRPr="00B85E4D" w:rsidRDefault="00F4223D" w:rsidP="00B578C7">
      <w:pPr>
        <w:tabs>
          <w:tab w:val="left" w:pos="518"/>
        </w:tabs>
        <w:spacing w:after="0"/>
        <w:jc w:val="both"/>
        <w:rPr>
          <w:rFonts w:cs="Times New Roman"/>
          <w:sz w:val="24"/>
          <w:szCs w:val="24"/>
          <w:lang w:val="en-GB"/>
        </w:rPr>
      </w:pPr>
      <w:r w:rsidRPr="00B85E4D">
        <w:rPr>
          <w:rFonts w:cs="Times New Roman"/>
          <w:sz w:val="24"/>
          <w:szCs w:val="24"/>
          <w:lang w:val="en-GB"/>
        </w:rPr>
        <w:tab/>
        <w:t xml:space="preserve">141.3. </w:t>
      </w:r>
      <w:r w:rsidR="000F45E3" w:rsidRPr="00B85E4D">
        <w:rPr>
          <w:rFonts w:cs="Times New Roman"/>
          <w:sz w:val="24"/>
          <w:szCs w:val="24"/>
          <w:lang w:val="en-GB"/>
        </w:rPr>
        <w:t xml:space="preserve">the client has conducted a sufficiently thorough legal review, which it has kept up to date, that substantiates that the arrangements that ensure that the condition set out in </w:t>
      </w:r>
      <w:r w:rsidRPr="00B85E4D">
        <w:rPr>
          <w:rFonts w:cs="Times New Roman"/>
          <w:sz w:val="24"/>
          <w:szCs w:val="24"/>
          <w:lang w:val="en-GB"/>
        </w:rPr>
        <w:t>subparagraph 141.2.</w:t>
      </w:r>
      <w:r w:rsidR="000F45E3" w:rsidRPr="00B85E4D">
        <w:rPr>
          <w:rFonts w:cs="Times New Roman"/>
          <w:sz w:val="24"/>
          <w:szCs w:val="24"/>
          <w:lang w:val="en-GB"/>
        </w:rPr>
        <w:t xml:space="preserve"> is met are legal, valid, binding and enforceable under the relevant laws of the relevant jurisdiction or </w:t>
      </w:r>
      <w:proofErr w:type="gramStart"/>
      <w:r w:rsidR="000F45E3" w:rsidRPr="00B85E4D">
        <w:rPr>
          <w:rFonts w:cs="Times New Roman"/>
          <w:sz w:val="24"/>
          <w:szCs w:val="24"/>
          <w:lang w:val="en-GB"/>
        </w:rPr>
        <w:t>jurisdictions;</w:t>
      </w:r>
      <w:proofErr w:type="gramEnd"/>
      <w:r w:rsidR="000F45E3" w:rsidRPr="00B85E4D">
        <w:rPr>
          <w:rFonts w:cs="Times New Roman"/>
          <w:sz w:val="24"/>
          <w:szCs w:val="24"/>
          <w:lang w:val="en-GB"/>
        </w:rPr>
        <w:t xml:space="preserve"> </w:t>
      </w:r>
    </w:p>
    <w:p w14:paraId="67AD515D" w14:textId="38F44022" w:rsidR="00F4223D" w:rsidRPr="00B85E4D" w:rsidRDefault="00F4223D" w:rsidP="00B578C7">
      <w:pPr>
        <w:tabs>
          <w:tab w:val="left" w:pos="518"/>
        </w:tabs>
        <w:spacing w:after="0"/>
        <w:jc w:val="both"/>
        <w:rPr>
          <w:rFonts w:cs="Times New Roman"/>
          <w:sz w:val="24"/>
          <w:szCs w:val="24"/>
          <w:lang w:val="en-GB"/>
        </w:rPr>
      </w:pPr>
      <w:r w:rsidRPr="00B85E4D">
        <w:rPr>
          <w:rFonts w:cs="Times New Roman"/>
          <w:sz w:val="24"/>
          <w:szCs w:val="24"/>
          <w:lang w:val="en-GB"/>
        </w:rPr>
        <w:tab/>
        <w:t xml:space="preserve">141.4 CPC is a </w:t>
      </w:r>
      <w:r w:rsidR="0046005D" w:rsidRPr="00B85E4D">
        <w:rPr>
          <w:rFonts w:cs="Times New Roman"/>
          <w:sz w:val="24"/>
          <w:szCs w:val="24"/>
          <w:lang w:val="en-GB"/>
        </w:rPr>
        <w:t>QCCP</w:t>
      </w:r>
      <w:r w:rsidRPr="00B85E4D">
        <w:rPr>
          <w:rFonts w:cs="Times New Roman"/>
          <w:sz w:val="24"/>
          <w:szCs w:val="24"/>
          <w:lang w:val="en-GB"/>
        </w:rPr>
        <w:t>.</w:t>
      </w:r>
    </w:p>
    <w:p w14:paraId="4C01876E" w14:textId="778A433B" w:rsidR="000F45E3" w:rsidRPr="00B85E4D" w:rsidRDefault="00F4223D"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142.</w:t>
      </w:r>
      <w:r w:rsidRPr="00B85E4D">
        <w:rPr>
          <w:rFonts w:cs="Times New Roman"/>
          <w:sz w:val="24"/>
          <w:szCs w:val="24"/>
          <w:lang w:val="en-GB"/>
        </w:rPr>
        <w:t xml:space="preserve"> </w:t>
      </w:r>
      <w:r w:rsidR="000F45E3" w:rsidRPr="00B85E4D">
        <w:rPr>
          <w:rFonts w:cs="Times New Roman"/>
          <w:sz w:val="24"/>
          <w:szCs w:val="24"/>
          <w:lang w:val="en-GB"/>
        </w:rPr>
        <w:t xml:space="preserve">When assessing its compliance with the condition set out in </w:t>
      </w:r>
      <w:r w:rsidRPr="00B85E4D">
        <w:rPr>
          <w:rFonts w:cs="Times New Roman"/>
          <w:sz w:val="24"/>
          <w:szCs w:val="24"/>
          <w:lang w:val="en-GB"/>
        </w:rPr>
        <w:t>paragraph 141, subparagraph 141.2.</w:t>
      </w:r>
      <w:r w:rsidR="000F45E3" w:rsidRPr="00B85E4D">
        <w:rPr>
          <w:rFonts w:cs="Times New Roman"/>
          <w:sz w:val="24"/>
          <w:szCs w:val="24"/>
          <w:lang w:val="en-GB"/>
        </w:rPr>
        <w:t xml:space="preserve">, </w:t>
      </w:r>
      <w:r w:rsidRPr="00B85E4D">
        <w:rPr>
          <w:rFonts w:cs="Times New Roman"/>
          <w:sz w:val="24"/>
          <w:szCs w:val="24"/>
          <w:lang w:val="en-GB"/>
        </w:rPr>
        <w:t>a bank</w:t>
      </w:r>
      <w:r w:rsidR="000F45E3" w:rsidRPr="00B85E4D">
        <w:rPr>
          <w:rFonts w:cs="Times New Roman"/>
          <w:sz w:val="24"/>
          <w:szCs w:val="24"/>
          <w:lang w:val="en-GB"/>
        </w:rPr>
        <w:t xml:space="preserve"> may </w:t>
      </w:r>
      <w:proofErr w:type="gramStart"/>
      <w:r w:rsidR="000F45E3" w:rsidRPr="00B85E4D">
        <w:rPr>
          <w:rFonts w:cs="Times New Roman"/>
          <w:sz w:val="24"/>
          <w:szCs w:val="24"/>
          <w:lang w:val="en-GB"/>
        </w:rPr>
        <w:t>take into account</w:t>
      </w:r>
      <w:proofErr w:type="gramEnd"/>
      <w:r w:rsidR="000F45E3" w:rsidRPr="00B85E4D">
        <w:rPr>
          <w:rFonts w:cs="Times New Roman"/>
          <w:sz w:val="24"/>
          <w:szCs w:val="24"/>
          <w:lang w:val="en-GB"/>
        </w:rPr>
        <w:t xml:space="preserve"> any clear precedents of transfers of client positions and of corresponding collateral at a CCP, and any industry intent to continue with that practice.</w:t>
      </w:r>
    </w:p>
    <w:p w14:paraId="31DD6027" w14:textId="34D2EC0B" w:rsidR="00F4223D" w:rsidRPr="00B85E4D" w:rsidRDefault="00F4223D"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143.</w:t>
      </w:r>
      <w:r w:rsidRPr="00B85E4D">
        <w:rPr>
          <w:rFonts w:cs="Times New Roman"/>
          <w:sz w:val="24"/>
          <w:szCs w:val="24"/>
          <w:lang w:val="en-GB"/>
        </w:rPr>
        <w:t xml:space="preserve"> </w:t>
      </w:r>
      <w:r w:rsidR="000F45E3" w:rsidRPr="00B85E4D">
        <w:rPr>
          <w:rFonts w:cs="Times New Roman"/>
          <w:sz w:val="24"/>
          <w:szCs w:val="24"/>
          <w:lang w:val="en-GB"/>
        </w:rPr>
        <w:t xml:space="preserve">By way of derogation from </w:t>
      </w:r>
      <w:r w:rsidRPr="00B85E4D">
        <w:rPr>
          <w:rFonts w:cs="Times New Roman"/>
          <w:sz w:val="24"/>
          <w:szCs w:val="24"/>
          <w:lang w:val="en-GB"/>
        </w:rPr>
        <w:t xml:space="preserve">paragraph 141 and 142, </w:t>
      </w:r>
      <w:r w:rsidR="000F45E3" w:rsidRPr="00B85E4D">
        <w:rPr>
          <w:rFonts w:cs="Times New Roman"/>
          <w:sz w:val="24"/>
          <w:szCs w:val="24"/>
          <w:lang w:val="en-GB"/>
        </w:rPr>
        <w:t xml:space="preserve">where </w:t>
      </w:r>
      <w:r w:rsidR="00865CE4" w:rsidRPr="00B85E4D">
        <w:rPr>
          <w:rFonts w:cs="Times New Roman"/>
          <w:sz w:val="24"/>
          <w:szCs w:val="24"/>
          <w:lang w:val="en-GB"/>
        </w:rPr>
        <w:t>a bank</w:t>
      </w:r>
      <w:r w:rsidR="000F45E3" w:rsidRPr="00B85E4D">
        <w:rPr>
          <w:rFonts w:cs="Times New Roman"/>
          <w:sz w:val="24"/>
          <w:szCs w:val="24"/>
          <w:lang w:val="en-GB"/>
        </w:rPr>
        <w:t xml:space="preserve"> that is a client fails to meet the condition set out in </w:t>
      </w:r>
      <w:r w:rsidRPr="00B85E4D">
        <w:rPr>
          <w:rFonts w:cs="Times New Roman"/>
          <w:sz w:val="24"/>
          <w:szCs w:val="24"/>
          <w:lang w:val="en-GB"/>
        </w:rPr>
        <w:t xml:space="preserve">paragraph 141, subparagraph 141.1 </w:t>
      </w:r>
      <w:r w:rsidR="000F45E3" w:rsidRPr="00B85E4D">
        <w:rPr>
          <w:rFonts w:cs="Times New Roman"/>
          <w:sz w:val="24"/>
          <w:szCs w:val="24"/>
          <w:lang w:val="en-GB"/>
        </w:rPr>
        <w:t xml:space="preserve">because that </w:t>
      </w:r>
      <w:r w:rsidR="00865CE4" w:rsidRPr="00B85E4D">
        <w:rPr>
          <w:rFonts w:cs="Times New Roman"/>
          <w:sz w:val="24"/>
          <w:szCs w:val="24"/>
          <w:lang w:val="en-GB"/>
        </w:rPr>
        <w:t>bank</w:t>
      </w:r>
      <w:r w:rsidR="000F45E3" w:rsidRPr="00B85E4D">
        <w:rPr>
          <w:rFonts w:cs="Times New Roman"/>
          <w:sz w:val="24"/>
          <w:szCs w:val="24"/>
          <w:lang w:val="en-GB"/>
        </w:rPr>
        <w:t xml:space="preserve"> is not protected from losses in case the clearing member and another client of the clearing member jointly default, provided that all the other conditions set out in </w:t>
      </w:r>
      <w:r w:rsidRPr="00B85E4D">
        <w:rPr>
          <w:rFonts w:cs="Times New Roman"/>
          <w:sz w:val="24"/>
          <w:szCs w:val="24"/>
          <w:lang w:val="en-GB"/>
        </w:rPr>
        <w:t xml:space="preserve">paragraph 141, subparagraph 141.1- 141.4. </w:t>
      </w:r>
      <w:r w:rsidR="000F45E3" w:rsidRPr="00B85E4D">
        <w:rPr>
          <w:rFonts w:cs="Times New Roman"/>
          <w:sz w:val="24"/>
          <w:szCs w:val="24"/>
          <w:lang w:val="en-GB"/>
        </w:rPr>
        <w:t xml:space="preserve">are met, the </w:t>
      </w:r>
      <w:r w:rsidRPr="00B85E4D">
        <w:rPr>
          <w:rFonts w:cs="Times New Roman"/>
          <w:sz w:val="24"/>
          <w:szCs w:val="24"/>
          <w:lang w:val="en-GB"/>
        </w:rPr>
        <w:t>bank</w:t>
      </w:r>
      <w:r w:rsidR="000F45E3" w:rsidRPr="00B85E4D">
        <w:rPr>
          <w:rFonts w:cs="Times New Roman"/>
          <w:sz w:val="24"/>
          <w:szCs w:val="24"/>
          <w:lang w:val="en-GB"/>
        </w:rPr>
        <w:t xml:space="preserve"> may calculate the own funds requirements for its trade exposures for CCP-related transactions with its clearing member in accordance with </w:t>
      </w:r>
      <w:r w:rsidRPr="00B85E4D">
        <w:rPr>
          <w:rFonts w:cs="Times New Roman"/>
          <w:sz w:val="24"/>
          <w:szCs w:val="24"/>
          <w:lang w:val="en-GB"/>
        </w:rPr>
        <w:t>paragraphs 145-148</w:t>
      </w:r>
      <w:r w:rsidR="000F45E3" w:rsidRPr="00B85E4D">
        <w:rPr>
          <w:rFonts w:cs="Times New Roman"/>
          <w:sz w:val="24"/>
          <w:szCs w:val="24"/>
          <w:lang w:val="en-GB"/>
        </w:rPr>
        <w:t xml:space="preserve">, subject to replacing the 2 % risk weight set out in </w:t>
      </w:r>
      <w:r w:rsidRPr="00B85E4D">
        <w:rPr>
          <w:rFonts w:cs="Times New Roman"/>
          <w:sz w:val="24"/>
          <w:szCs w:val="24"/>
          <w:lang w:val="en-GB"/>
        </w:rPr>
        <w:t>paragraph 145, subparagraph 145.1.</w:t>
      </w:r>
      <w:r w:rsidR="000F45E3" w:rsidRPr="00B85E4D">
        <w:rPr>
          <w:rFonts w:cs="Times New Roman"/>
          <w:sz w:val="24"/>
          <w:szCs w:val="24"/>
          <w:lang w:val="en-GB"/>
        </w:rPr>
        <w:t xml:space="preserve"> with a 4 % risk weight. </w:t>
      </w:r>
    </w:p>
    <w:p w14:paraId="50635ABA" w14:textId="6B3ED695" w:rsidR="000F45E3" w:rsidRPr="00B85E4D" w:rsidRDefault="00F4223D"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144.</w:t>
      </w:r>
      <w:r w:rsidRPr="00B85E4D">
        <w:rPr>
          <w:rFonts w:cs="Times New Roman"/>
          <w:sz w:val="24"/>
          <w:szCs w:val="24"/>
          <w:lang w:val="en-GB"/>
        </w:rPr>
        <w:t xml:space="preserve"> </w:t>
      </w:r>
      <w:r w:rsidR="000F45E3" w:rsidRPr="00B85E4D">
        <w:rPr>
          <w:rFonts w:cs="Times New Roman"/>
          <w:sz w:val="24"/>
          <w:szCs w:val="24"/>
          <w:lang w:val="en-GB"/>
        </w:rPr>
        <w:t xml:space="preserve"> In the case of a multi-level client structure, </w:t>
      </w:r>
      <w:r w:rsidRPr="00B85E4D">
        <w:rPr>
          <w:rFonts w:cs="Times New Roman"/>
          <w:sz w:val="24"/>
          <w:szCs w:val="24"/>
          <w:lang w:val="en-GB"/>
        </w:rPr>
        <w:t>a bank</w:t>
      </w:r>
      <w:r w:rsidR="000F45E3" w:rsidRPr="00B85E4D">
        <w:rPr>
          <w:rFonts w:cs="Times New Roman"/>
          <w:sz w:val="24"/>
          <w:szCs w:val="24"/>
          <w:lang w:val="en-GB"/>
        </w:rPr>
        <w:t xml:space="preserve"> that is a lower-level client accessing the services of a CCP through a </w:t>
      </w:r>
      <w:r w:rsidRPr="00B85E4D">
        <w:rPr>
          <w:rFonts w:cs="Times New Roman"/>
          <w:sz w:val="24"/>
          <w:szCs w:val="24"/>
          <w:lang w:val="en-GB"/>
        </w:rPr>
        <w:t>higher-level</w:t>
      </w:r>
      <w:r w:rsidR="000F45E3" w:rsidRPr="00B85E4D">
        <w:rPr>
          <w:rFonts w:cs="Times New Roman"/>
          <w:sz w:val="24"/>
          <w:szCs w:val="24"/>
          <w:lang w:val="en-GB"/>
        </w:rPr>
        <w:t xml:space="preserve"> client may apply the treatment set out in paragraph </w:t>
      </w:r>
      <w:r w:rsidRPr="00B85E4D">
        <w:rPr>
          <w:rFonts w:cs="Times New Roman"/>
          <w:sz w:val="24"/>
          <w:szCs w:val="24"/>
          <w:lang w:val="en-GB"/>
        </w:rPr>
        <w:t>141</w:t>
      </w:r>
      <w:r w:rsidR="000F45E3" w:rsidRPr="00B85E4D">
        <w:rPr>
          <w:rFonts w:cs="Times New Roman"/>
          <w:sz w:val="24"/>
          <w:szCs w:val="24"/>
          <w:lang w:val="en-GB"/>
        </w:rPr>
        <w:t xml:space="preserve"> or </w:t>
      </w:r>
      <w:r w:rsidRPr="00B85E4D">
        <w:rPr>
          <w:rFonts w:cs="Times New Roman"/>
          <w:sz w:val="24"/>
          <w:szCs w:val="24"/>
          <w:lang w:val="en-GB"/>
        </w:rPr>
        <w:t>143</w:t>
      </w:r>
      <w:r w:rsidR="000F45E3" w:rsidRPr="00B85E4D">
        <w:rPr>
          <w:rFonts w:cs="Times New Roman"/>
          <w:sz w:val="24"/>
          <w:szCs w:val="24"/>
          <w:lang w:val="en-GB"/>
        </w:rPr>
        <w:t xml:space="preserve"> only where the conditions set out therein are met at every level of that structure</w:t>
      </w:r>
      <w:r w:rsidRPr="00B85E4D">
        <w:rPr>
          <w:rFonts w:cs="Times New Roman"/>
          <w:sz w:val="24"/>
          <w:szCs w:val="24"/>
          <w:lang w:val="en-GB"/>
        </w:rPr>
        <w:t>.</w:t>
      </w:r>
    </w:p>
    <w:p w14:paraId="09A0B362" w14:textId="77777777" w:rsidR="00F4223D" w:rsidRPr="00B85E4D" w:rsidRDefault="00F4223D" w:rsidP="00B578C7">
      <w:pPr>
        <w:tabs>
          <w:tab w:val="left" w:pos="518"/>
        </w:tabs>
        <w:spacing w:after="0"/>
        <w:jc w:val="both"/>
        <w:rPr>
          <w:rFonts w:cs="Times New Roman"/>
          <w:sz w:val="24"/>
          <w:szCs w:val="24"/>
          <w:lang w:val="en-GB"/>
        </w:rPr>
      </w:pPr>
    </w:p>
    <w:p w14:paraId="022D3C87" w14:textId="77777777" w:rsidR="00F4223D" w:rsidRPr="00B85E4D" w:rsidRDefault="00F4223D" w:rsidP="00F4223D">
      <w:pPr>
        <w:tabs>
          <w:tab w:val="left" w:pos="518"/>
        </w:tabs>
        <w:spacing w:after="0"/>
        <w:jc w:val="center"/>
        <w:rPr>
          <w:rFonts w:cs="Times New Roman"/>
          <w:i/>
          <w:iCs/>
          <w:sz w:val="24"/>
          <w:szCs w:val="24"/>
          <w:lang w:val="en-GB"/>
        </w:rPr>
      </w:pPr>
      <w:r w:rsidRPr="00B85E4D">
        <w:rPr>
          <w:rFonts w:cs="Times New Roman"/>
          <w:i/>
          <w:iCs/>
          <w:sz w:val="24"/>
          <w:szCs w:val="24"/>
          <w:lang w:val="en-GB"/>
        </w:rPr>
        <w:t>Section 6</w:t>
      </w:r>
    </w:p>
    <w:p w14:paraId="1B6A29F8" w14:textId="52D8C44B" w:rsidR="00F4223D" w:rsidRPr="00B85E4D" w:rsidRDefault="00F4223D" w:rsidP="00F4223D">
      <w:pPr>
        <w:tabs>
          <w:tab w:val="left" w:pos="518"/>
        </w:tabs>
        <w:spacing w:after="0"/>
        <w:jc w:val="center"/>
        <w:rPr>
          <w:rFonts w:cs="Times New Roman"/>
          <w:b/>
          <w:bCs/>
          <w:sz w:val="24"/>
          <w:szCs w:val="24"/>
          <w:lang w:val="en-GB"/>
        </w:rPr>
      </w:pPr>
      <w:r w:rsidRPr="00B85E4D">
        <w:rPr>
          <w:rFonts w:cs="Times New Roman"/>
          <w:b/>
          <w:bCs/>
          <w:sz w:val="24"/>
          <w:szCs w:val="24"/>
          <w:lang w:val="en-GB"/>
        </w:rPr>
        <w:t>Own funds requirements for trade exposures</w:t>
      </w:r>
    </w:p>
    <w:p w14:paraId="1C77AE15" w14:textId="23B50FBC" w:rsidR="00F4223D" w:rsidRPr="00B85E4D" w:rsidRDefault="00F4223D" w:rsidP="00F4223D">
      <w:pPr>
        <w:tabs>
          <w:tab w:val="left" w:pos="518"/>
        </w:tabs>
        <w:spacing w:after="0"/>
        <w:jc w:val="center"/>
        <w:rPr>
          <w:rFonts w:cs="Times New Roman"/>
          <w:b/>
          <w:bCs/>
          <w:sz w:val="24"/>
          <w:szCs w:val="24"/>
          <w:lang w:val="en-GB"/>
        </w:rPr>
      </w:pPr>
      <w:r w:rsidRPr="00B85E4D">
        <w:rPr>
          <w:rFonts w:cs="Times New Roman"/>
          <w:b/>
          <w:bCs/>
          <w:sz w:val="24"/>
          <w:szCs w:val="24"/>
          <w:lang w:val="en-GB"/>
        </w:rPr>
        <w:t>and own funds requirements for contributions</w:t>
      </w:r>
      <w:r w:rsidR="0046005D" w:rsidRPr="00B85E4D">
        <w:rPr>
          <w:rFonts w:cs="Times New Roman"/>
          <w:b/>
          <w:bCs/>
          <w:sz w:val="24"/>
          <w:szCs w:val="24"/>
          <w:lang w:val="en-GB"/>
        </w:rPr>
        <w:t xml:space="preserve"> to default fund</w:t>
      </w:r>
      <w:r w:rsidRPr="00B85E4D">
        <w:rPr>
          <w:rFonts w:cs="Times New Roman"/>
          <w:b/>
          <w:bCs/>
          <w:sz w:val="24"/>
          <w:szCs w:val="24"/>
          <w:lang w:val="en-GB"/>
        </w:rPr>
        <w:t xml:space="preserve"> </w:t>
      </w:r>
      <w:r w:rsidR="0046005D" w:rsidRPr="00B85E4D">
        <w:rPr>
          <w:rFonts w:cs="Times New Roman"/>
          <w:b/>
          <w:bCs/>
          <w:sz w:val="24"/>
          <w:szCs w:val="24"/>
          <w:lang w:val="en-GB"/>
        </w:rPr>
        <w:t>of</w:t>
      </w:r>
      <w:r w:rsidRPr="00B85E4D">
        <w:rPr>
          <w:rFonts w:cs="Times New Roman"/>
          <w:b/>
          <w:bCs/>
          <w:sz w:val="24"/>
          <w:szCs w:val="24"/>
          <w:lang w:val="en-GB"/>
        </w:rPr>
        <w:t xml:space="preserve"> a CCP</w:t>
      </w:r>
    </w:p>
    <w:p w14:paraId="748C573B" w14:textId="77777777" w:rsidR="0046005D" w:rsidRPr="00B85E4D" w:rsidRDefault="0046005D" w:rsidP="00F4223D">
      <w:pPr>
        <w:tabs>
          <w:tab w:val="left" w:pos="518"/>
        </w:tabs>
        <w:spacing w:after="0"/>
        <w:jc w:val="center"/>
        <w:rPr>
          <w:rFonts w:cs="Times New Roman"/>
          <w:sz w:val="24"/>
          <w:szCs w:val="24"/>
          <w:lang w:val="en-GB"/>
        </w:rPr>
      </w:pPr>
    </w:p>
    <w:p w14:paraId="1A59C8FA" w14:textId="77777777" w:rsidR="0046005D" w:rsidRPr="00B85E4D" w:rsidRDefault="0046005D"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145.</w:t>
      </w:r>
      <w:r w:rsidRPr="00B85E4D">
        <w:rPr>
          <w:sz w:val="24"/>
          <w:szCs w:val="24"/>
          <w:lang w:val="en-GB"/>
        </w:rPr>
        <w:t xml:space="preserve"> A bank shall apply the following treatment to its trade exposures with CCPs: </w:t>
      </w:r>
    </w:p>
    <w:p w14:paraId="123AD74E" w14:textId="19834037" w:rsidR="0046005D" w:rsidRPr="00B85E4D" w:rsidRDefault="00865CE4" w:rsidP="00B578C7">
      <w:pPr>
        <w:tabs>
          <w:tab w:val="left" w:pos="518"/>
        </w:tabs>
        <w:spacing w:after="0"/>
        <w:jc w:val="both"/>
        <w:rPr>
          <w:sz w:val="24"/>
          <w:szCs w:val="24"/>
          <w:lang w:val="en-GB"/>
        </w:rPr>
      </w:pPr>
      <w:r w:rsidRPr="00B85E4D">
        <w:rPr>
          <w:sz w:val="24"/>
          <w:szCs w:val="24"/>
          <w:lang w:val="en-GB"/>
        </w:rPr>
        <w:tab/>
      </w:r>
      <w:r w:rsidR="0046005D" w:rsidRPr="00B85E4D">
        <w:rPr>
          <w:sz w:val="24"/>
          <w:szCs w:val="24"/>
          <w:lang w:val="en-GB"/>
        </w:rPr>
        <w:t xml:space="preserve">145.1. it shall apply a risk weight of 2 % to the exposure values of all its trade exposures with </w:t>
      </w:r>
      <w:proofErr w:type="gramStart"/>
      <w:r w:rsidR="0046005D" w:rsidRPr="00B85E4D">
        <w:rPr>
          <w:sz w:val="24"/>
          <w:szCs w:val="24"/>
          <w:lang w:val="en-GB"/>
        </w:rPr>
        <w:t>QCCPs;</w:t>
      </w:r>
      <w:proofErr w:type="gramEnd"/>
      <w:r w:rsidR="0046005D" w:rsidRPr="00B85E4D">
        <w:rPr>
          <w:sz w:val="24"/>
          <w:szCs w:val="24"/>
          <w:lang w:val="en-GB"/>
        </w:rPr>
        <w:t xml:space="preserve"> </w:t>
      </w:r>
    </w:p>
    <w:p w14:paraId="0C9ADA97" w14:textId="4FEEDC38" w:rsidR="0046005D" w:rsidRPr="00B85E4D" w:rsidRDefault="00865CE4" w:rsidP="00B578C7">
      <w:pPr>
        <w:tabs>
          <w:tab w:val="left" w:pos="518"/>
        </w:tabs>
        <w:spacing w:after="0"/>
        <w:jc w:val="both"/>
        <w:rPr>
          <w:sz w:val="24"/>
          <w:szCs w:val="24"/>
          <w:lang w:val="en-GB"/>
        </w:rPr>
      </w:pPr>
      <w:r w:rsidRPr="00B85E4D">
        <w:rPr>
          <w:sz w:val="24"/>
          <w:szCs w:val="24"/>
          <w:lang w:val="en-GB"/>
        </w:rPr>
        <w:tab/>
      </w:r>
      <w:r w:rsidR="0046005D" w:rsidRPr="00B85E4D">
        <w:rPr>
          <w:sz w:val="24"/>
          <w:szCs w:val="24"/>
          <w:lang w:val="en-GB"/>
        </w:rPr>
        <w:t xml:space="preserve">145.2. it shall apply the risk weight used for the Standardised Approach to credit risk as set out in Regulation no.111/2018 to all its trade exposures with non-qualifying </w:t>
      </w:r>
      <w:proofErr w:type="gramStart"/>
      <w:r w:rsidR="0046005D" w:rsidRPr="00B85E4D">
        <w:rPr>
          <w:sz w:val="24"/>
          <w:szCs w:val="24"/>
          <w:lang w:val="en-GB"/>
        </w:rPr>
        <w:t>CCPs;</w:t>
      </w:r>
      <w:proofErr w:type="gramEnd"/>
      <w:r w:rsidR="0046005D" w:rsidRPr="00B85E4D">
        <w:rPr>
          <w:sz w:val="24"/>
          <w:szCs w:val="24"/>
          <w:lang w:val="en-GB"/>
        </w:rPr>
        <w:t xml:space="preserve"> </w:t>
      </w:r>
    </w:p>
    <w:p w14:paraId="758D4F1B" w14:textId="1DA14C0A" w:rsidR="0046005D" w:rsidRPr="00B85E4D" w:rsidRDefault="00865CE4" w:rsidP="00B578C7">
      <w:pPr>
        <w:tabs>
          <w:tab w:val="left" w:pos="518"/>
        </w:tabs>
        <w:spacing w:after="0"/>
        <w:jc w:val="both"/>
        <w:rPr>
          <w:sz w:val="24"/>
          <w:szCs w:val="24"/>
          <w:lang w:val="en-GB"/>
        </w:rPr>
      </w:pPr>
      <w:r w:rsidRPr="00B85E4D">
        <w:rPr>
          <w:sz w:val="24"/>
          <w:szCs w:val="24"/>
          <w:lang w:val="en-GB"/>
        </w:rPr>
        <w:tab/>
      </w:r>
      <w:r w:rsidR="0046005D" w:rsidRPr="00B85E4D">
        <w:rPr>
          <w:sz w:val="24"/>
          <w:szCs w:val="24"/>
          <w:lang w:val="en-GB"/>
        </w:rPr>
        <w:t xml:space="preserve">145.3. where a bank acts as a financial intermediary between a client and a CCP, and the terms of the CCP-related transaction stipulate that the </w:t>
      </w:r>
      <w:r w:rsidRPr="00B85E4D">
        <w:rPr>
          <w:sz w:val="24"/>
          <w:szCs w:val="24"/>
          <w:lang w:val="en-GB"/>
        </w:rPr>
        <w:t>bank</w:t>
      </w:r>
      <w:r w:rsidR="0046005D" w:rsidRPr="00B85E4D">
        <w:rPr>
          <w:sz w:val="24"/>
          <w:szCs w:val="24"/>
          <w:lang w:val="en-GB"/>
        </w:rPr>
        <w:t xml:space="preserve"> is not required to reimburse the client for any losses suffered due to changes in the value of that transaction in the event that the CCP defaults, that </w:t>
      </w:r>
      <w:r w:rsidRPr="00B85E4D">
        <w:rPr>
          <w:sz w:val="24"/>
          <w:szCs w:val="24"/>
          <w:lang w:val="en-GB"/>
        </w:rPr>
        <w:t>bank</w:t>
      </w:r>
      <w:r w:rsidR="0046005D" w:rsidRPr="00B85E4D">
        <w:rPr>
          <w:sz w:val="24"/>
          <w:szCs w:val="24"/>
          <w:lang w:val="en-GB"/>
        </w:rPr>
        <w:t xml:space="preserve"> may set the exposure value of the trade exposure with the CCP that corresponds to that CCP-related transaction to zero; </w:t>
      </w:r>
    </w:p>
    <w:p w14:paraId="441F7D6A" w14:textId="5B4338B9" w:rsidR="00F4223D" w:rsidRPr="00B85E4D" w:rsidRDefault="00865CE4" w:rsidP="00B578C7">
      <w:pPr>
        <w:tabs>
          <w:tab w:val="left" w:pos="518"/>
        </w:tabs>
        <w:spacing w:after="0"/>
        <w:jc w:val="both"/>
        <w:rPr>
          <w:sz w:val="24"/>
          <w:szCs w:val="24"/>
          <w:lang w:val="en-GB"/>
        </w:rPr>
      </w:pPr>
      <w:r w:rsidRPr="00B85E4D">
        <w:rPr>
          <w:sz w:val="24"/>
          <w:szCs w:val="24"/>
          <w:lang w:val="en-GB"/>
        </w:rPr>
        <w:lastRenderedPageBreak/>
        <w:tab/>
      </w:r>
      <w:r w:rsidR="0046005D" w:rsidRPr="00B85E4D">
        <w:rPr>
          <w:sz w:val="24"/>
          <w:szCs w:val="24"/>
          <w:lang w:val="en-GB"/>
        </w:rPr>
        <w:t>145.4.</w:t>
      </w:r>
      <w:r w:rsidRPr="00B85E4D">
        <w:rPr>
          <w:sz w:val="24"/>
          <w:szCs w:val="24"/>
          <w:lang w:val="en-GB"/>
        </w:rPr>
        <w:t xml:space="preserve"> </w:t>
      </w:r>
      <w:r w:rsidR="0046005D" w:rsidRPr="00B85E4D">
        <w:rPr>
          <w:sz w:val="24"/>
          <w:szCs w:val="24"/>
          <w:lang w:val="en-GB"/>
        </w:rPr>
        <w:t xml:space="preserve">where a bank acts as a financial intermediary between a client and a CCP, and the terms of the CCP-related transaction stipulate that the </w:t>
      </w:r>
      <w:r w:rsidRPr="00B85E4D">
        <w:rPr>
          <w:sz w:val="24"/>
          <w:szCs w:val="24"/>
          <w:lang w:val="en-GB"/>
        </w:rPr>
        <w:t>bank</w:t>
      </w:r>
      <w:r w:rsidR="0046005D" w:rsidRPr="00B85E4D">
        <w:rPr>
          <w:sz w:val="24"/>
          <w:szCs w:val="24"/>
          <w:lang w:val="en-GB"/>
        </w:rPr>
        <w:t xml:space="preserve"> is required to reimburse the client for any losses suffered due to changes in the value of that transaction </w:t>
      </w:r>
      <w:proofErr w:type="gramStart"/>
      <w:r w:rsidR="0046005D" w:rsidRPr="00B85E4D">
        <w:rPr>
          <w:sz w:val="24"/>
          <w:szCs w:val="24"/>
          <w:lang w:val="en-GB"/>
        </w:rPr>
        <w:t>in the event that</w:t>
      </w:r>
      <w:proofErr w:type="gramEnd"/>
      <w:r w:rsidR="0046005D" w:rsidRPr="00B85E4D">
        <w:rPr>
          <w:sz w:val="24"/>
          <w:szCs w:val="24"/>
          <w:lang w:val="en-GB"/>
        </w:rPr>
        <w:t xml:space="preserve"> the CCP defaults, that </w:t>
      </w:r>
      <w:r w:rsidRPr="00B85E4D">
        <w:rPr>
          <w:sz w:val="24"/>
          <w:szCs w:val="24"/>
          <w:lang w:val="en-GB"/>
        </w:rPr>
        <w:t>bank</w:t>
      </w:r>
      <w:r w:rsidR="0046005D" w:rsidRPr="00B85E4D">
        <w:rPr>
          <w:sz w:val="24"/>
          <w:szCs w:val="24"/>
          <w:lang w:val="en-GB"/>
        </w:rPr>
        <w:t xml:space="preserve"> shall apply the treatment in subparagraphs 145.1. or 145.2., as applicable, to the trade exposure with the CCP that corresponds to that CCP-related transaction.</w:t>
      </w:r>
    </w:p>
    <w:p w14:paraId="5A9B2868" w14:textId="697E80CA" w:rsidR="0046005D" w:rsidRPr="00B85E4D" w:rsidRDefault="0046005D" w:rsidP="00B578C7">
      <w:pPr>
        <w:tabs>
          <w:tab w:val="left" w:pos="518"/>
        </w:tabs>
        <w:spacing w:after="0"/>
        <w:jc w:val="both"/>
        <w:rPr>
          <w:rFonts w:cs="Times New Roman"/>
          <w:sz w:val="24"/>
          <w:szCs w:val="24"/>
          <w:lang w:val="en-GB"/>
        </w:rPr>
      </w:pPr>
      <w:r w:rsidRPr="00B85E4D">
        <w:rPr>
          <w:rFonts w:cs="Times New Roman"/>
          <w:b/>
          <w:bCs/>
          <w:sz w:val="24"/>
          <w:szCs w:val="24"/>
          <w:lang w:val="en-GB"/>
        </w:rPr>
        <w:tab/>
        <w:t>146.</w:t>
      </w:r>
      <w:r w:rsidRPr="00B85E4D">
        <w:rPr>
          <w:rFonts w:cs="Times New Roman"/>
          <w:sz w:val="24"/>
          <w:szCs w:val="24"/>
          <w:lang w:val="en-GB"/>
        </w:rPr>
        <w:t xml:space="preserve"> By way of derogation from paragraph 145, where assets posted as collateral to a CCP or a clearing member are bankruptcy remote </w:t>
      </w:r>
      <w:proofErr w:type="gramStart"/>
      <w:r w:rsidRPr="00B85E4D">
        <w:rPr>
          <w:rFonts w:cs="Times New Roman"/>
          <w:sz w:val="24"/>
          <w:szCs w:val="24"/>
          <w:lang w:val="en-GB"/>
        </w:rPr>
        <w:t>in the event that</w:t>
      </w:r>
      <w:proofErr w:type="gramEnd"/>
      <w:r w:rsidRPr="00B85E4D">
        <w:rPr>
          <w:rFonts w:cs="Times New Roman"/>
          <w:sz w:val="24"/>
          <w:szCs w:val="24"/>
          <w:lang w:val="en-GB"/>
        </w:rPr>
        <w:t xml:space="preserve"> the CCP, the clearing member or one or more of the other clients of the clearing member become insolvent, </w:t>
      </w:r>
      <w:r w:rsidR="00865CE4" w:rsidRPr="00B85E4D">
        <w:rPr>
          <w:rFonts w:cs="Times New Roman"/>
          <w:sz w:val="24"/>
          <w:szCs w:val="24"/>
          <w:lang w:val="en-GB"/>
        </w:rPr>
        <w:t>a bank</w:t>
      </w:r>
      <w:r w:rsidRPr="00B85E4D">
        <w:rPr>
          <w:rFonts w:cs="Times New Roman"/>
          <w:sz w:val="24"/>
          <w:szCs w:val="24"/>
          <w:lang w:val="en-GB"/>
        </w:rPr>
        <w:t xml:space="preserve"> may attribute an exposure value of zero to the counterparty credit risk exposures for those assets. </w:t>
      </w:r>
    </w:p>
    <w:p w14:paraId="79CE9827" w14:textId="77777777" w:rsidR="0046005D"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147.</w:t>
      </w:r>
      <w:r w:rsidRPr="00B85E4D">
        <w:rPr>
          <w:rFonts w:cs="Times New Roman"/>
          <w:sz w:val="24"/>
          <w:szCs w:val="24"/>
          <w:lang w:val="en-GB"/>
        </w:rPr>
        <w:t xml:space="preserve"> A bank shall calculate exposure values of its trade exposures with a CCP in accordance with Chapter I-VII and with provisions of Regulation No. 112/2018 and Regulation No. 103/2020, as applicable. </w:t>
      </w:r>
    </w:p>
    <w:p w14:paraId="4D1499FE" w14:textId="7BB1D045" w:rsidR="0046005D" w:rsidRPr="00B85E4D" w:rsidRDefault="0046005D" w:rsidP="00B578C7">
      <w:pPr>
        <w:tabs>
          <w:tab w:val="left" w:pos="518"/>
        </w:tabs>
        <w:spacing w:after="0"/>
        <w:jc w:val="both"/>
        <w:rPr>
          <w:rFonts w:cs="Times New Roman"/>
          <w:sz w:val="24"/>
          <w:szCs w:val="24"/>
          <w:lang w:val="en-GB"/>
        </w:rPr>
      </w:pPr>
      <w:r w:rsidRPr="00B85E4D">
        <w:rPr>
          <w:rFonts w:cs="Times New Roman"/>
          <w:b/>
          <w:bCs/>
          <w:sz w:val="24"/>
          <w:szCs w:val="24"/>
          <w:lang w:val="en-GB"/>
        </w:rPr>
        <w:tab/>
        <w:t>148.</w:t>
      </w:r>
      <w:r w:rsidRPr="00B85E4D">
        <w:rPr>
          <w:rFonts w:cs="Times New Roman"/>
          <w:sz w:val="24"/>
          <w:szCs w:val="24"/>
          <w:lang w:val="en-GB"/>
        </w:rPr>
        <w:t xml:space="preserve"> A bank shall calculate the risk-weighted exposure amounts for its trade exposures with CCPs in accordance </w:t>
      </w:r>
      <w:proofErr w:type="gramStart"/>
      <w:r w:rsidRPr="00B85E4D">
        <w:rPr>
          <w:rFonts w:cs="Times New Roman"/>
          <w:sz w:val="24"/>
          <w:szCs w:val="24"/>
          <w:lang w:val="en-GB"/>
        </w:rPr>
        <w:t>of</w:t>
      </w:r>
      <w:proofErr w:type="gramEnd"/>
      <w:r w:rsidRPr="00B85E4D">
        <w:rPr>
          <w:rFonts w:cs="Times New Roman"/>
          <w:sz w:val="24"/>
          <w:szCs w:val="24"/>
          <w:lang w:val="en-GB"/>
        </w:rPr>
        <w:t xml:space="preserve"> the provisions of Regulation no.109/2018 as the sum of the exposure values of its trade exposures with CCPs, calculated in accordance with paragraphs 146 and 147, multiplied by the risk weight determined in accordance with paragraph 145.  </w:t>
      </w:r>
    </w:p>
    <w:p w14:paraId="60498A54" w14:textId="77777777" w:rsidR="0046005D"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ab/>
      </w:r>
      <w:r w:rsidRPr="00B85E4D">
        <w:rPr>
          <w:rFonts w:cs="Times New Roman"/>
          <w:b/>
          <w:bCs/>
          <w:sz w:val="24"/>
          <w:szCs w:val="24"/>
          <w:lang w:val="en-GB"/>
        </w:rPr>
        <w:t>149.</w:t>
      </w:r>
      <w:r w:rsidRPr="00B85E4D">
        <w:rPr>
          <w:rFonts w:cs="Times New Roman"/>
          <w:sz w:val="24"/>
          <w:szCs w:val="24"/>
          <w:lang w:val="en-GB"/>
        </w:rPr>
        <w:t xml:space="preserve"> A bank that acts as a clearing member shall apply the following treatment to its exposures arising from its contributions to the default fund of a CCP: </w:t>
      </w:r>
    </w:p>
    <w:p w14:paraId="631DA5E4" w14:textId="3C52E693" w:rsidR="0046005D"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ab/>
        <w:t xml:space="preserve">149.1. it shall calculate the own funds requirement for its pre-funded contributions to the default fund of a QCCP in accordance with the approach set out in </w:t>
      </w:r>
      <w:r w:rsidR="003A4B74" w:rsidRPr="00B85E4D">
        <w:rPr>
          <w:rFonts w:cs="Times New Roman"/>
          <w:sz w:val="24"/>
          <w:szCs w:val="24"/>
          <w:lang w:val="en-GB"/>
        </w:rPr>
        <w:t>paragraphs</w:t>
      </w:r>
      <w:r w:rsidRPr="00B85E4D">
        <w:rPr>
          <w:rFonts w:cs="Times New Roman"/>
          <w:sz w:val="24"/>
          <w:szCs w:val="24"/>
          <w:lang w:val="en-GB"/>
        </w:rPr>
        <w:t xml:space="preserve"> </w:t>
      </w:r>
      <w:proofErr w:type="gramStart"/>
      <w:r w:rsidRPr="00B85E4D">
        <w:rPr>
          <w:rFonts w:cs="Times New Roman"/>
          <w:sz w:val="24"/>
          <w:szCs w:val="24"/>
          <w:lang w:val="en-GB"/>
        </w:rPr>
        <w:t>150-152;</w:t>
      </w:r>
      <w:proofErr w:type="gramEnd"/>
      <w:r w:rsidRPr="00B85E4D">
        <w:rPr>
          <w:rFonts w:cs="Times New Roman"/>
          <w:sz w:val="24"/>
          <w:szCs w:val="24"/>
          <w:lang w:val="en-GB"/>
        </w:rPr>
        <w:t xml:space="preserve"> </w:t>
      </w:r>
    </w:p>
    <w:p w14:paraId="5ECBF56E" w14:textId="17B2ECA2" w:rsidR="0046005D"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ab/>
        <w:t xml:space="preserve">149.2. it shall calculate the own funds requirement for its pre-funded and unfunded contributions to the default fund of a non-qualifying CCP in accordance with the approach set out in </w:t>
      </w:r>
      <w:r w:rsidR="003A4B74" w:rsidRPr="00B85E4D">
        <w:rPr>
          <w:rFonts w:cs="Times New Roman"/>
          <w:sz w:val="24"/>
          <w:szCs w:val="24"/>
          <w:lang w:val="en-GB"/>
        </w:rPr>
        <w:t>paragraphs</w:t>
      </w:r>
      <w:r w:rsidRPr="00B85E4D">
        <w:rPr>
          <w:rFonts w:cs="Times New Roman"/>
          <w:sz w:val="24"/>
          <w:szCs w:val="24"/>
          <w:lang w:val="en-GB"/>
        </w:rPr>
        <w:t xml:space="preserve"> 153 and </w:t>
      </w:r>
      <w:proofErr w:type="gramStart"/>
      <w:r w:rsidRPr="00B85E4D">
        <w:rPr>
          <w:rFonts w:cs="Times New Roman"/>
          <w:sz w:val="24"/>
          <w:szCs w:val="24"/>
          <w:lang w:val="en-GB"/>
        </w:rPr>
        <w:t>154;</w:t>
      </w:r>
      <w:proofErr w:type="gramEnd"/>
      <w:r w:rsidRPr="00B85E4D">
        <w:rPr>
          <w:rFonts w:cs="Times New Roman"/>
          <w:sz w:val="24"/>
          <w:szCs w:val="24"/>
          <w:lang w:val="en-GB"/>
        </w:rPr>
        <w:t xml:space="preserve"> </w:t>
      </w:r>
    </w:p>
    <w:p w14:paraId="6C86AF3F" w14:textId="77777777" w:rsidR="0046005D"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 xml:space="preserve">149.3. it shall calculate the own funds requirement for its unfunded contributions to the default fund of a QCCP in accordance with the treatment set out in paragraph 155. </w:t>
      </w:r>
    </w:p>
    <w:p w14:paraId="795DA13A" w14:textId="77777777" w:rsidR="0046005D" w:rsidRPr="00B85E4D" w:rsidRDefault="0046005D" w:rsidP="00B578C7">
      <w:pPr>
        <w:tabs>
          <w:tab w:val="left" w:pos="518"/>
        </w:tabs>
        <w:spacing w:after="0"/>
        <w:jc w:val="both"/>
        <w:rPr>
          <w:rFonts w:cs="Times New Roman"/>
          <w:sz w:val="24"/>
          <w:szCs w:val="24"/>
          <w:lang w:val="en-GB"/>
        </w:rPr>
      </w:pPr>
    </w:p>
    <w:p w14:paraId="061BD3DC" w14:textId="77777777" w:rsidR="0046005D" w:rsidRPr="00B85E4D" w:rsidRDefault="0046005D" w:rsidP="0046005D">
      <w:pPr>
        <w:tabs>
          <w:tab w:val="left" w:pos="518"/>
        </w:tabs>
        <w:spacing w:after="0"/>
        <w:jc w:val="center"/>
        <w:rPr>
          <w:rFonts w:cs="Times New Roman"/>
          <w:i/>
          <w:iCs/>
          <w:sz w:val="24"/>
          <w:szCs w:val="24"/>
          <w:lang w:val="en-GB"/>
        </w:rPr>
      </w:pPr>
      <w:r w:rsidRPr="00B85E4D">
        <w:rPr>
          <w:rFonts w:cs="Times New Roman"/>
          <w:i/>
          <w:iCs/>
          <w:sz w:val="24"/>
          <w:szCs w:val="24"/>
          <w:lang w:val="en-GB"/>
        </w:rPr>
        <w:t>Section 7</w:t>
      </w:r>
    </w:p>
    <w:p w14:paraId="78939AE5" w14:textId="51AA2C2A" w:rsidR="0046005D" w:rsidRPr="00B85E4D" w:rsidRDefault="0046005D" w:rsidP="0046005D">
      <w:pPr>
        <w:tabs>
          <w:tab w:val="left" w:pos="518"/>
        </w:tabs>
        <w:spacing w:after="0"/>
        <w:jc w:val="center"/>
        <w:rPr>
          <w:rFonts w:cs="Times New Roman"/>
          <w:b/>
          <w:bCs/>
          <w:sz w:val="24"/>
          <w:szCs w:val="24"/>
          <w:lang w:val="en-GB"/>
        </w:rPr>
      </w:pPr>
      <w:r w:rsidRPr="00B85E4D">
        <w:rPr>
          <w:rFonts w:cs="Times New Roman"/>
          <w:b/>
          <w:bCs/>
          <w:sz w:val="24"/>
          <w:szCs w:val="24"/>
          <w:lang w:val="en-GB"/>
        </w:rPr>
        <w:t>Own funds requirements for pre-funded contributions</w:t>
      </w:r>
    </w:p>
    <w:p w14:paraId="08136971" w14:textId="086D3388" w:rsidR="0046005D" w:rsidRPr="00B85E4D" w:rsidRDefault="0046005D" w:rsidP="0046005D">
      <w:pPr>
        <w:tabs>
          <w:tab w:val="left" w:pos="518"/>
        </w:tabs>
        <w:spacing w:after="0"/>
        <w:jc w:val="center"/>
        <w:rPr>
          <w:rFonts w:cs="Times New Roman"/>
          <w:b/>
          <w:bCs/>
          <w:sz w:val="24"/>
          <w:szCs w:val="24"/>
          <w:lang w:val="en-GB"/>
        </w:rPr>
      </w:pPr>
      <w:r w:rsidRPr="00B85E4D">
        <w:rPr>
          <w:rFonts w:cs="Times New Roman"/>
          <w:b/>
          <w:bCs/>
          <w:sz w:val="24"/>
          <w:szCs w:val="24"/>
          <w:lang w:val="en-GB"/>
        </w:rPr>
        <w:t>to the default fund of a QCCP</w:t>
      </w:r>
    </w:p>
    <w:p w14:paraId="5F90823F" w14:textId="77777777" w:rsidR="0046005D" w:rsidRPr="00B85E4D" w:rsidRDefault="0046005D" w:rsidP="00B578C7">
      <w:pPr>
        <w:tabs>
          <w:tab w:val="left" w:pos="518"/>
        </w:tabs>
        <w:spacing w:after="0"/>
        <w:jc w:val="both"/>
        <w:rPr>
          <w:rFonts w:cs="Times New Roman"/>
          <w:sz w:val="24"/>
          <w:szCs w:val="24"/>
          <w:lang w:val="en-GB"/>
        </w:rPr>
      </w:pPr>
    </w:p>
    <w:p w14:paraId="2A721399" w14:textId="4D4995BC" w:rsidR="002F37E8" w:rsidRPr="00B85E4D" w:rsidRDefault="0046005D" w:rsidP="00B578C7">
      <w:pPr>
        <w:tabs>
          <w:tab w:val="left" w:pos="518"/>
        </w:tabs>
        <w:spacing w:after="0"/>
        <w:jc w:val="both"/>
        <w:rPr>
          <w:rFonts w:cs="Times New Roman"/>
          <w:sz w:val="24"/>
          <w:szCs w:val="24"/>
          <w:lang w:val="en-GB"/>
        </w:rPr>
      </w:pPr>
      <w:r w:rsidRPr="00B85E4D">
        <w:rPr>
          <w:rFonts w:cs="Times New Roman"/>
          <w:b/>
          <w:bCs/>
          <w:sz w:val="24"/>
          <w:szCs w:val="24"/>
          <w:lang w:val="en-GB"/>
        </w:rPr>
        <w:tab/>
        <w:t xml:space="preserve">150. </w:t>
      </w:r>
      <w:r w:rsidRPr="00B85E4D">
        <w:rPr>
          <w:rFonts w:cs="Times New Roman"/>
          <w:sz w:val="24"/>
          <w:szCs w:val="24"/>
          <w:lang w:val="en-GB"/>
        </w:rPr>
        <w:t xml:space="preserve">The exposure value for </w:t>
      </w:r>
      <w:r w:rsidR="00865CE4" w:rsidRPr="00B85E4D">
        <w:rPr>
          <w:rFonts w:cs="Times New Roman"/>
          <w:sz w:val="24"/>
          <w:szCs w:val="24"/>
          <w:lang w:val="en-GB"/>
        </w:rPr>
        <w:t>a bank</w:t>
      </w:r>
      <w:r w:rsidRPr="00B85E4D">
        <w:rPr>
          <w:rFonts w:cs="Times New Roman"/>
          <w:sz w:val="24"/>
          <w:szCs w:val="24"/>
          <w:lang w:val="en-GB"/>
        </w:rPr>
        <w:t>'s pre-funded contribution to the default fund of a QCCP (</w:t>
      </w:r>
      <w:proofErr w:type="spellStart"/>
      <w:r w:rsidRPr="00B85E4D">
        <w:rPr>
          <w:rFonts w:cs="Times New Roman"/>
          <w:sz w:val="24"/>
          <w:szCs w:val="24"/>
          <w:lang w:val="en-GB"/>
        </w:rPr>
        <w:t>DFi</w:t>
      </w:r>
      <w:proofErr w:type="spellEnd"/>
      <w:r w:rsidRPr="00B85E4D">
        <w:rPr>
          <w:rFonts w:cs="Times New Roman"/>
          <w:sz w:val="24"/>
          <w:szCs w:val="24"/>
          <w:lang w:val="en-GB"/>
        </w:rPr>
        <w:t xml:space="preserve">) shall be the amount paid in or the market value of the assets delivered by that </w:t>
      </w:r>
      <w:r w:rsidR="00865CE4" w:rsidRPr="00B85E4D">
        <w:rPr>
          <w:rFonts w:cs="Times New Roman"/>
          <w:sz w:val="24"/>
          <w:szCs w:val="24"/>
          <w:lang w:val="en-GB"/>
        </w:rPr>
        <w:t>bank</w:t>
      </w:r>
      <w:r w:rsidRPr="00B85E4D">
        <w:rPr>
          <w:rFonts w:cs="Times New Roman"/>
          <w:sz w:val="24"/>
          <w:szCs w:val="24"/>
          <w:lang w:val="en-GB"/>
        </w:rPr>
        <w:t xml:space="preserve"> reduced by any amount of that contribution that the QCCP has already used to absorb its losses following the default of one or more of its clearing members. </w:t>
      </w:r>
    </w:p>
    <w:p w14:paraId="7E5F2F45" w14:textId="69AC40A5" w:rsidR="0046005D" w:rsidRPr="00B85E4D" w:rsidRDefault="002F37E8" w:rsidP="00B578C7">
      <w:pPr>
        <w:tabs>
          <w:tab w:val="left" w:pos="518"/>
        </w:tabs>
        <w:spacing w:after="0"/>
        <w:jc w:val="both"/>
        <w:rPr>
          <w:rFonts w:cs="Times New Roman"/>
          <w:sz w:val="24"/>
          <w:szCs w:val="24"/>
          <w:lang w:val="en-GB"/>
        </w:rPr>
      </w:pPr>
      <w:r w:rsidRPr="00B85E4D">
        <w:rPr>
          <w:rFonts w:cs="Times New Roman"/>
          <w:b/>
          <w:bCs/>
          <w:sz w:val="24"/>
          <w:szCs w:val="24"/>
          <w:lang w:val="en-GB"/>
        </w:rPr>
        <w:tab/>
        <w:t>151.</w:t>
      </w:r>
      <w:r w:rsidRPr="00B85E4D">
        <w:rPr>
          <w:rFonts w:cs="Times New Roman"/>
          <w:sz w:val="24"/>
          <w:szCs w:val="24"/>
          <w:lang w:val="en-GB"/>
        </w:rPr>
        <w:t xml:space="preserve"> </w:t>
      </w:r>
      <w:r w:rsidR="0046005D" w:rsidRPr="00B85E4D">
        <w:rPr>
          <w:rFonts w:cs="Times New Roman"/>
          <w:sz w:val="24"/>
          <w:szCs w:val="24"/>
          <w:lang w:val="en-GB"/>
        </w:rPr>
        <w:t>A</w:t>
      </w:r>
      <w:r w:rsidRPr="00B85E4D">
        <w:rPr>
          <w:rFonts w:cs="Times New Roman"/>
          <w:sz w:val="24"/>
          <w:szCs w:val="24"/>
          <w:lang w:val="en-GB"/>
        </w:rPr>
        <w:t xml:space="preserve"> bank </w:t>
      </w:r>
      <w:r w:rsidR="0046005D" w:rsidRPr="00B85E4D">
        <w:rPr>
          <w:rFonts w:cs="Times New Roman"/>
          <w:sz w:val="24"/>
          <w:szCs w:val="24"/>
          <w:lang w:val="en-GB"/>
        </w:rPr>
        <w:t>shall calculate the own funds requirement to cover the exposure arising from its pre-funded contribution as follows:</w:t>
      </w:r>
    </w:p>
    <w:p w14:paraId="3219730E" w14:textId="155F9CEE" w:rsidR="002F37E8" w:rsidRPr="00B85E4D" w:rsidRDefault="002F37E8" w:rsidP="002F37E8">
      <w:pPr>
        <w:tabs>
          <w:tab w:val="left" w:pos="518"/>
        </w:tabs>
        <w:spacing w:after="0"/>
        <w:jc w:val="center"/>
        <w:rPr>
          <w:rFonts w:cs="Times New Roman"/>
          <w:sz w:val="24"/>
          <w:szCs w:val="24"/>
          <w:lang w:val="en-GB"/>
        </w:rPr>
      </w:pPr>
      <w:r w:rsidRPr="00B85E4D">
        <w:rPr>
          <w:rFonts w:eastAsia="Times New Roman" w:cs="Times New Roman"/>
          <w:noProof/>
          <w:sz w:val="24"/>
          <w:szCs w:val="24"/>
          <w:lang w:val="en-GB" w:eastAsia="ro-MD"/>
        </w:rPr>
        <w:drawing>
          <wp:inline distT="0" distB="0" distL="0" distR="0" wp14:anchorId="10141CD2" wp14:editId="6EA26D44">
            <wp:extent cx="39909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90975" cy="504825"/>
                    </a:xfrm>
                    <a:prstGeom prst="rect">
                      <a:avLst/>
                    </a:prstGeom>
                    <a:noFill/>
                    <a:ln>
                      <a:noFill/>
                    </a:ln>
                  </pic:spPr>
                </pic:pic>
              </a:graphicData>
            </a:graphic>
          </wp:inline>
        </w:drawing>
      </w:r>
    </w:p>
    <w:p w14:paraId="345631D5" w14:textId="77777777" w:rsidR="002F37E8"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 xml:space="preserve">where: </w:t>
      </w:r>
    </w:p>
    <w:p w14:paraId="764824DF" w14:textId="77777777" w:rsidR="002F37E8"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K</w:t>
      </w:r>
      <w:r w:rsidRPr="00B85E4D">
        <w:rPr>
          <w:rFonts w:cs="Times New Roman"/>
          <w:sz w:val="24"/>
          <w:szCs w:val="24"/>
          <w:vertAlign w:val="subscript"/>
          <w:lang w:val="en-GB"/>
        </w:rPr>
        <w:t>i</w:t>
      </w:r>
      <w:r w:rsidRPr="00B85E4D">
        <w:rPr>
          <w:rFonts w:cs="Times New Roman"/>
          <w:sz w:val="24"/>
          <w:szCs w:val="24"/>
          <w:lang w:val="en-GB"/>
        </w:rPr>
        <w:t xml:space="preserve"> = the own funds </w:t>
      </w:r>
      <w:proofErr w:type="gramStart"/>
      <w:r w:rsidRPr="00B85E4D">
        <w:rPr>
          <w:rFonts w:cs="Times New Roman"/>
          <w:sz w:val="24"/>
          <w:szCs w:val="24"/>
          <w:lang w:val="en-GB"/>
        </w:rPr>
        <w:t>requirement;</w:t>
      </w:r>
      <w:proofErr w:type="gramEnd"/>
      <w:r w:rsidRPr="00B85E4D">
        <w:rPr>
          <w:rFonts w:cs="Times New Roman"/>
          <w:sz w:val="24"/>
          <w:szCs w:val="24"/>
          <w:lang w:val="en-GB"/>
        </w:rPr>
        <w:t xml:space="preserve"> </w:t>
      </w:r>
    </w:p>
    <w:p w14:paraId="5B515B35" w14:textId="77777777" w:rsidR="002F37E8"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 xml:space="preserve">i = the index denoting the clearing </w:t>
      </w:r>
      <w:proofErr w:type="gramStart"/>
      <w:r w:rsidRPr="00B85E4D">
        <w:rPr>
          <w:rFonts w:cs="Times New Roman"/>
          <w:sz w:val="24"/>
          <w:szCs w:val="24"/>
          <w:lang w:val="en-GB"/>
        </w:rPr>
        <w:t>member;</w:t>
      </w:r>
      <w:proofErr w:type="gramEnd"/>
      <w:r w:rsidRPr="00B85E4D">
        <w:rPr>
          <w:rFonts w:cs="Times New Roman"/>
          <w:sz w:val="24"/>
          <w:szCs w:val="24"/>
          <w:lang w:val="en-GB"/>
        </w:rPr>
        <w:t xml:space="preserve"> </w:t>
      </w:r>
    </w:p>
    <w:p w14:paraId="7E09D0BD" w14:textId="371C5073" w:rsidR="002F37E8"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K</w:t>
      </w:r>
      <w:r w:rsidRPr="00B85E4D">
        <w:rPr>
          <w:rFonts w:cs="Times New Roman"/>
          <w:sz w:val="24"/>
          <w:szCs w:val="24"/>
          <w:vertAlign w:val="subscript"/>
          <w:lang w:val="en-GB"/>
        </w:rPr>
        <w:t>CCP</w:t>
      </w:r>
      <w:r w:rsidRPr="00B85E4D">
        <w:rPr>
          <w:rFonts w:cs="Times New Roman"/>
          <w:sz w:val="24"/>
          <w:szCs w:val="24"/>
          <w:lang w:val="en-GB"/>
        </w:rPr>
        <w:t xml:space="preserve"> = the hypothetical capital of the QCCP communicated to the </w:t>
      </w:r>
      <w:r w:rsidR="00865CE4" w:rsidRPr="00B85E4D">
        <w:rPr>
          <w:rFonts w:cs="Times New Roman"/>
          <w:sz w:val="24"/>
          <w:szCs w:val="24"/>
          <w:lang w:val="en-GB"/>
        </w:rPr>
        <w:t>bank</w:t>
      </w:r>
      <w:r w:rsidRPr="00B85E4D">
        <w:rPr>
          <w:rFonts w:cs="Times New Roman"/>
          <w:sz w:val="24"/>
          <w:szCs w:val="24"/>
          <w:lang w:val="en-GB"/>
        </w:rPr>
        <w:t xml:space="preserve"> by the </w:t>
      </w:r>
      <w:proofErr w:type="gramStart"/>
      <w:r w:rsidRPr="00B85E4D">
        <w:rPr>
          <w:rFonts w:cs="Times New Roman"/>
          <w:sz w:val="24"/>
          <w:szCs w:val="24"/>
          <w:lang w:val="en-GB"/>
        </w:rPr>
        <w:t>QCCP</w:t>
      </w:r>
      <w:r w:rsidR="002F37E8" w:rsidRPr="00B85E4D">
        <w:rPr>
          <w:rFonts w:cs="Times New Roman"/>
          <w:sz w:val="24"/>
          <w:szCs w:val="24"/>
          <w:lang w:val="en-GB"/>
        </w:rPr>
        <w:t>;</w:t>
      </w:r>
      <w:proofErr w:type="gramEnd"/>
      <w:r w:rsidRPr="00B85E4D">
        <w:rPr>
          <w:rFonts w:cs="Times New Roman"/>
          <w:sz w:val="24"/>
          <w:szCs w:val="24"/>
          <w:lang w:val="en-GB"/>
        </w:rPr>
        <w:t xml:space="preserve"> </w:t>
      </w:r>
    </w:p>
    <w:p w14:paraId="7F450E2B" w14:textId="77777777" w:rsidR="002F37E8" w:rsidRPr="00B85E4D" w:rsidRDefault="0046005D" w:rsidP="00B578C7">
      <w:pPr>
        <w:tabs>
          <w:tab w:val="left" w:pos="518"/>
        </w:tabs>
        <w:spacing w:after="0"/>
        <w:jc w:val="both"/>
        <w:rPr>
          <w:rFonts w:cs="Times New Roman"/>
          <w:sz w:val="24"/>
          <w:szCs w:val="24"/>
          <w:lang w:val="en-GB"/>
        </w:rPr>
      </w:pPr>
      <w:proofErr w:type="spellStart"/>
      <w:r w:rsidRPr="00B85E4D">
        <w:rPr>
          <w:rFonts w:cs="Times New Roman"/>
          <w:sz w:val="24"/>
          <w:szCs w:val="24"/>
          <w:lang w:val="en-GB"/>
        </w:rPr>
        <w:t>DF</w:t>
      </w:r>
      <w:r w:rsidRPr="00B85E4D">
        <w:rPr>
          <w:rFonts w:cs="Times New Roman"/>
          <w:sz w:val="24"/>
          <w:szCs w:val="24"/>
          <w:vertAlign w:val="subscript"/>
          <w:lang w:val="en-GB"/>
        </w:rPr>
        <w:t>i</w:t>
      </w:r>
      <w:proofErr w:type="spellEnd"/>
      <w:r w:rsidRPr="00B85E4D">
        <w:rPr>
          <w:rFonts w:cs="Times New Roman"/>
          <w:sz w:val="24"/>
          <w:szCs w:val="24"/>
          <w:lang w:val="en-GB"/>
        </w:rPr>
        <w:t xml:space="preserve"> = the pre-funded </w:t>
      </w:r>
      <w:proofErr w:type="gramStart"/>
      <w:r w:rsidRPr="00B85E4D">
        <w:rPr>
          <w:rFonts w:cs="Times New Roman"/>
          <w:sz w:val="24"/>
          <w:szCs w:val="24"/>
          <w:lang w:val="en-GB"/>
        </w:rPr>
        <w:t>contribution;</w:t>
      </w:r>
      <w:proofErr w:type="gramEnd"/>
      <w:r w:rsidRPr="00B85E4D">
        <w:rPr>
          <w:rFonts w:cs="Times New Roman"/>
          <w:sz w:val="24"/>
          <w:szCs w:val="24"/>
          <w:lang w:val="en-GB"/>
        </w:rPr>
        <w:t xml:space="preserve"> </w:t>
      </w:r>
    </w:p>
    <w:p w14:paraId="62949442" w14:textId="70099815" w:rsidR="002F37E8"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DF</w:t>
      </w:r>
      <w:r w:rsidRPr="00B85E4D">
        <w:rPr>
          <w:rFonts w:cs="Times New Roman"/>
          <w:sz w:val="24"/>
          <w:szCs w:val="24"/>
          <w:vertAlign w:val="subscript"/>
          <w:lang w:val="en-GB"/>
        </w:rPr>
        <w:t>CCP</w:t>
      </w:r>
      <w:r w:rsidRPr="00B85E4D">
        <w:rPr>
          <w:rFonts w:cs="Times New Roman"/>
          <w:sz w:val="24"/>
          <w:szCs w:val="24"/>
          <w:lang w:val="en-GB"/>
        </w:rPr>
        <w:t xml:space="preserve"> = the pre-funded financial resources of the CCP communicated to the </w:t>
      </w:r>
      <w:r w:rsidR="00865CE4" w:rsidRPr="00B85E4D">
        <w:rPr>
          <w:rFonts w:cs="Times New Roman"/>
          <w:sz w:val="24"/>
          <w:szCs w:val="24"/>
          <w:lang w:val="en-GB"/>
        </w:rPr>
        <w:t>bank</w:t>
      </w:r>
      <w:r w:rsidRPr="00B85E4D">
        <w:rPr>
          <w:rFonts w:cs="Times New Roman"/>
          <w:sz w:val="24"/>
          <w:szCs w:val="24"/>
          <w:lang w:val="en-GB"/>
        </w:rPr>
        <w:t xml:space="preserve"> by the CCP; and </w:t>
      </w:r>
    </w:p>
    <w:p w14:paraId="2A72CDE4" w14:textId="738FE435" w:rsidR="002F37E8" w:rsidRPr="00B85E4D" w:rsidRDefault="0046005D" w:rsidP="00B578C7">
      <w:pPr>
        <w:tabs>
          <w:tab w:val="left" w:pos="518"/>
        </w:tabs>
        <w:spacing w:after="0"/>
        <w:jc w:val="both"/>
        <w:rPr>
          <w:rFonts w:cs="Times New Roman"/>
          <w:sz w:val="24"/>
          <w:szCs w:val="24"/>
          <w:lang w:val="en-GB"/>
        </w:rPr>
      </w:pPr>
      <w:r w:rsidRPr="00B85E4D">
        <w:rPr>
          <w:rFonts w:cs="Times New Roman"/>
          <w:sz w:val="24"/>
          <w:szCs w:val="24"/>
          <w:lang w:val="en-GB"/>
        </w:rPr>
        <w:t>DF</w:t>
      </w:r>
      <w:r w:rsidRPr="00B85E4D">
        <w:rPr>
          <w:rFonts w:cs="Times New Roman"/>
          <w:sz w:val="24"/>
          <w:szCs w:val="24"/>
          <w:vertAlign w:val="subscript"/>
          <w:lang w:val="en-GB"/>
        </w:rPr>
        <w:t>CM</w:t>
      </w:r>
      <w:r w:rsidRPr="00B85E4D">
        <w:rPr>
          <w:rFonts w:cs="Times New Roman"/>
          <w:sz w:val="24"/>
          <w:szCs w:val="24"/>
          <w:lang w:val="en-GB"/>
        </w:rPr>
        <w:t xml:space="preserve"> = the sum of pre-funded contributions of all clearing members of the QCCP communicated to the </w:t>
      </w:r>
      <w:r w:rsidR="00865CE4" w:rsidRPr="00B85E4D">
        <w:rPr>
          <w:rFonts w:cs="Times New Roman"/>
          <w:sz w:val="24"/>
          <w:szCs w:val="24"/>
          <w:lang w:val="en-GB"/>
        </w:rPr>
        <w:t>bank</w:t>
      </w:r>
      <w:r w:rsidRPr="00B85E4D">
        <w:rPr>
          <w:rFonts w:cs="Times New Roman"/>
          <w:sz w:val="24"/>
          <w:szCs w:val="24"/>
          <w:lang w:val="en-GB"/>
        </w:rPr>
        <w:t xml:space="preserve"> by the QCCP. </w:t>
      </w:r>
    </w:p>
    <w:p w14:paraId="7A41297A" w14:textId="77777777" w:rsidR="002F37E8" w:rsidRPr="00B85E4D" w:rsidRDefault="002F37E8" w:rsidP="00B578C7">
      <w:pPr>
        <w:tabs>
          <w:tab w:val="left" w:pos="518"/>
        </w:tabs>
        <w:spacing w:after="0"/>
        <w:jc w:val="both"/>
        <w:rPr>
          <w:rFonts w:cs="Times New Roman"/>
          <w:sz w:val="24"/>
          <w:szCs w:val="24"/>
          <w:lang w:val="en-GB"/>
        </w:rPr>
      </w:pPr>
    </w:p>
    <w:p w14:paraId="3D7ECE81" w14:textId="30425133" w:rsidR="0046005D" w:rsidRPr="00B85E4D" w:rsidRDefault="002F37E8" w:rsidP="00B578C7">
      <w:pPr>
        <w:tabs>
          <w:tab w:val="left" w:pos="518"/>
        </w:tabs>
        <w:spacing w:after="0"/>
        <w:jc w:val="both"/>
        <w:rPr>
          <w:rFonts w:cs="Times New Roman"/>
          <w:sz w:val="24"/>
          <w:szCs w:val="24"/>
          <w:lang w:val="en-GB"/>
        </w:rPr>
      </w:pPr>
      <w:r w:rsidRPr="00B85E4D">
        <w:rPr>
          <w:rFonts w:cs="Times New Roman"/>
          <w:b/>
          <w:bCs/>
          <w:sz w:val="24"/>
          <w:szCs w:val="24"/>
          <w:lang w:val="en-GB"/>
        </w:rPr>
        <w:tab/>
        <w:t>152.</w:t>
      </w:r>
      <w:r w:rsidRPr="00B85E4D">
        <w:rPr>
          <w:rFonts w:cs="Times New Roman"/>
          <w:sz w:val="24"/>
          <w:szCs w:val="24"/>
          <w:lang w:val="en-GB"/>
        </w:rPr>
        <w:t xml:space="preserve"> </w:t>
      </w:r>
      <w:r w:rsidR="0046005D" w:rsidRPr="00B85E4D">
        <w:rPr>
          <w:rFonts w:cs="Times New Roman"/>
          <w:sz w:val="24"/>
          <w:szCs w:val="24"/>
          <w:lang w:val="en-GB"/>
        </w:rPr>
        <w:t xml:space="preserve"> </w:t>
      </w:r>
      <w:r w:rsidRPr="00B85E4D">
        <w:rPr>
          <w:rFonts w:cs="Times New Roman"/>
          <w:sz w:val="24"/>
          <w:szCs w:val="24"/>
          <w:lang w:val="en-GB"/>
        </w:rPr>
        <w:t>A bank</w:t>
      </w:r>
      <w:r w:rsidR="0046005D" w:rsidRPr="00B85E4D">
        <w:rPr>
          <w:rFonts w:cs="Times New Roman"/>
          <w:sz w:val="24"/>
          <w:szCs w:val="24"/>
          <w:lang w:val="en-GB"/>
        </w:rPr>
        <w:t xml:space="preserve"> shall calculate the risk-weighted exposure amounts for exposures arising from that </w:t>
      </w:r>
      <w:r w:rsidR="00865CE4" w:rsidRPr="00B85E4D">
        <w:rPr>
          <w:rFonts w:cs="Times New Roman"/>
          <w:sz w:val="24"/>
          <w:szCs w:val="24"/>
          <w:lang w:val="en-GB"/>
        </w:rPr>
        <w:t>bank</w:t>
      </w:r>
      <w:r w:rsidR="0046005D" w:rsidRPr="00B85E4D">
        <w:rPr>
          <w:rFonts w:cs="Times New Roman"/>
          <w:sz w:val="24"/>
          <w:szCs w:val="24"/>
          <w:lang w:val="en-GB"/>
        </w:rPr>
        <w:t xml:space="preserve">'s pre-funded contribution to the default fund of a QCCP </w:t>
      </w:r>
      <w:r w:rsidRPr="00B85E4D">
        <w:rPr>
          <w:sz w:val="24"/>
          <w:szCs w:val="24"/>
          <w:lang w:val="en-GB"/>
        </w:rPr>
        <w:t xml:space="preserve">in accordance with the </w:t>
      </w:r>
      <w:r w:rsidRPr="00B85E4D">
        <w:rPr>
          <w:sz w:val="24"/>
          <w:szCs w:val="24"/>
          <w:lang w:val="en-GB"/>
        </w:rPr>
        <w:lastRenderedPageBreak/>
        <w:t>provisions of Regulation No. 109/2018, by multiplying by 10 the own funds requirement calculated in accordance with paragraph 151</w:t>
      </w:r>
      <w:r w:rsidR="0046005D" w:rsidRPr="00B85E4D">
        <w:rPr>
          <w:rFonts w:cs="Times New Roman"/>
          <w:sz w:val="24"/>
          <w:szCs w:val="24"/>
          <w:lang w:val="en-GB"/>
        </w:rPr>
        <w:t>.</w:t>
      </w:r>
    </w:p>
    <w:p w14:paraId="683AFF3D" w14:textId="77777777" w:rsidR="002F37E8" w:rsidRPr="00B85E4D" w:rsidRDefault="002F37E8" w:rsidP="00B578C7">
      <w:pPr>
        <w:tabs>
          <w:tab w:val="left" w:pos="518"/>
        </w:tabs>
        <w:spacing w:after="0"/>
        <w:jc w:val="both"/>
        <w:rPr>
          <w:rFonts w:cs="Times New Roman"/>
          <w:sz w:val="24"/>
          <w:szCs w:val="24"/>
          <w:lang w:val="en-GB"/>
        </w:rPr>
      </w:pPr>
    </w:p>
    <w:p w14:paraId="5B9E0B4F" w14:textId="1BB28396" w:rsidR="002F37E8" w:rsidRPr="00B85E4D" w:rsidRDefault="002F37E8" w:rsidP="002F37E8">
      <w:pPr>
        <w:tabs>
          <w:tab w:val="left" w:pos="518"/>
        </w:tabs>
        <w:spacing w:after="0"/>
        <w:jc w:val="center"/>
        <w:rPr>
          <w:rFonts w:cs="Times New Roman"/>
          <w:i/>
          <w:iCs/>
          <w:sz w:val="24"/>
          <w:szCs w:val="24"/>
          <w:lang w:val="en-GB"/>
        </w:rPr>
      </w:pPr>
      <w:r w:rsidRPr="00B85E4D">
        <w:rPr>
          <w:rFonts w:cs="Times New Roman"/>
          <w:i/>
          <w:iCs/>
          <w:sz w:val="24"/>
          <w:szCs w:val="24"/>
          <w:lang w:val="en-GB"/>
        </w:rPr>
        <w:t>Section 8</w:t>
      </w:r>
    </w:p>
    <w:p w14:paraId="03B35B34" w14:textId="17CBF951" w:rsidR="002F37E8" w:rsidRPr="00B85E4D" w:rsidRDefault="002F37E8" w:rsidP="002F37E8">
      <w:pPr>
        <w:tabs>
          <w:tab w:val="left" w:pos="518"/>
        </w:tabs>
        <w:spacing w:after="0"/>
        <w:jc w:val="center"/>
        <w:rPr>
          <w:b/>
          <w:bCs/>
          <w:sz w:val="24"/>
          <w:szCs w:val="24"/>
          <w:lang w:val="en-GB"/>
        </w:rPr>
      </w:pPr>
      <w:r w:rsidRPr="00B85E4D">
        <w:rPr>
          <w:b/>
          <w:bCs/>
          <w:sz w:val="24"/>
          <w:szCs w:val="24"/>
          <w:lang w:val="en-GB"/>
        </w:rPr>
        <w:t>Own funds requirements for pre-funded contributions to the default fund of a non-qualifying CCP and for unfunded contributions to a non-qualifying CCP and own funds requirements for unfunded contributions to the default fund of a QCCP</w:t>
      </w:r>
    </w:p>
    <w:p w14:paraId="331702C3" w14:textId="77777777" w:rsidR="002F37E8" w:rsidRPr="00B85E4D" w:rsidRDefault="002F37E8" w:rsidP="00B578C7">
      <w:pPr>
        <w:tabs>
          <w:tab w:val="left" w:pos="518"/>
        </w:tabs>
        <w:spacing w:after="0"/>
        <w:jc w:val="both"/>
        <w:rPr>
          <w:sz w:val="24"/>
          <w:szCs w:val="24"/>
          <w:lang w:val="en-GB"/>
        </w:rPr>
      </w:pPr>
    </w:p>
    <w:p w14:paraId="528E20C8" w14:textId="77777777" w:rsidR="002F37E8" w:rsidRPr="00B85E4D" w:rsidRDefault="002F37E8" w:rsidP="00B578C7">
      <w:pPr>
        <w:tabs>
          <w:tab w:val="left" w:pos="518"/>
        </w:tabs>
        <w:spacing w:after="0"/>
        <w:jc w:val="both"/>
        <w:rPr>
          <w:sz w:val="24"/>
          <w:szCs w:val="24"/>
          <w:lang w:val="en-GB"/>
        </w:rPr>
      </w:pPr>
      <w:r w:rsidRPr="00B85E4D">
        <w:rPr>
          <w:sz w:val="24"/>
          <w:szCs w:val="24"/>
          <w:lang w:val="en-GB"/>
        </w:rPr>
        <w:tab/>
      </w:r>
      <w:r w:rsidRPr="00B85E4D">
        <w:rPr>
          <w:b/>
          <w:bCs/>
          <w:sz w:val="24"/>
          <w:szCs w:val="24"/>
          <w:lang w:val="en-GB"/>
        </w:rPr>
        <w:t>153.</w:t>
      </w:r>
      <w:r w:rsidRPr="00B85E4D">
        <w:rPr>
          <w:sz w:val="24"/>
          <w:szCs w:val="24"/>
          <w:lang w:val="en-GB"/>
        </w:rPr>
        <w:t xml:space="preserve"> A bank shall apply the following formula to calculate the own funds requirement for the exposures arising from its pre-funded contributions to the default fund of a non-qualifying CCP and from unfunded contributions to such CCP: </w:t>
      </w:r>
    </w:p>
    <w:p w14:paraId="766728E8" w14:textId="71AE8549" w:rsidR="002F37E8" w:rsidRPr="00B85E4D" w:rsidRDefault="002F37E8" w:rsidP="00B578C7">
      <w:pPr>
        <w:tabs>
          <w:tab w:val="left" w:pos="518"/>
        </w:tabs>
        <w:spacing w:after="0"/>
        <w:jc w:val="both"/>
        <w:rPr>
          <w:sz w:val="24"/>
          <w:szCs w:val="24"/>
          <w:lang w:val="en-GB"/>
        </w:rPr>
      </w:pPr>
      <w:r w:rsidRPr="00B85E4D">
        <w:rPr>
          <w:sz w:val="24"/>
          <w:szCs w:val="24"/>
          <w:lang w:val="en-GB"/>
        </w:rPr>
        <w:t xml:space="preserve">                                                              K = DF + UC </w:t>
      </w:r>
    </w:p>
    <w:p w14:paraId="53620298" w14:textId="6733C814" w:rsidR="002F37E8" w:rsidRPr="00B85E4D" w:rsidRDefault="002F37E8" w:rsidP="00B578C7">
      <w:pPr>
        <w:tabs>
          <w:tab w:val="left" w:pos="518"/>
        </w:tabs>
        <w:spacing w:after="0"/>
        <w:jc w:val="both"/>
        <w:rPr>
          <w:sz w:val="24"/>
          <w:szCs w:val="24"/>
          <w:lang w:val="en-GB"/>
        </w:rPr>
      </w:pPr>
      <w:r w:rsidRPr="00B85E4D">
        <w:rPr>
          <w:sz w:val="24"/>
          <w:szCs w:val="24"/>
          <w:lang w:val="en-GB"/>
        </w:rPr>
        <w:tab/>
        <w:t xml:space="preserve">where: </w:t>
      </w:r>
    </w:p>
    <w:p w14:paraId="140BEC56" w14:textId="488F94BC" w:rsidR="002F37E8" w:rsidRPr="00B85E4D" w:rsidRDefault="002F37E8" w:rsidP="00B578C7">
      <w:pPr>
        <w:tabs>
          <w:tab w:val="left" w:pos="518"/>
        </w:tabs>
        <w:spacing w:after="0"/>
        <w:jc w:val="both"/>
        <w:rPr>
          <w:sz w:val="24"/>
          <w:szCs w:val="24"/>
          <w:lang w:val="en-GB"/>
        </w:rPr>
      </w:pPr>
      <w:r w:rsidRPr="00B85E4D">
        <w:rPr>
          <w:sz w:val="24"/>
          <w:szCs w:val="24"/>
          <w:lang w:val="en-GB"/>
        </w:rPr>
        <w:tab/>
        <w:t xml:space="preserve">K = the own funds </w:t>
      </w:r>
      <w:proofErr w:type="gramStart"/>
      <w:r w:rsidRPr="00B85E4D">
        <w:rPr>
          <w:sz w:val="24"/>
          <w:szCs w:val="24"/>
          <w:lang w:val="en-GB"/>
        </w:rPr>
        <w:t>requirement;</w:t>
      </w:r>
      <w:proofErr w:type="gramEnd"/>
      <w:r w:rsidRPr="00B85E4D">
        <w:rPr>
          <w:sz w:val="24"/>
          <w:szCs w:val="24"/>
          <w:lang w:val="en-GB"/>
        </w:rPr>
        <w:t xml:space="preserve"> </w:t>
      </w:r>
    </w:p>
    <w:p w14:paraId="618089C9" w14:textId="4749D899" w:rsidR="002F37E8" w:rsidRPr="00B85E4D" w:rsidRDefault="002F37E8" w:rsidP="00B578C7">
      <w:pPr>
        <w:tabs>
          <w:tab w:val="left" w:pos="518"/>
        </w:tabs>
        <w:spacing w:after="0"/>
        <w:jc w:val="both"/>
        <w:rPr>
          <w:sz w:val="24"/>
          <w:szCs w:val="24"/>
          <w:lang w:val="en-GB"/>
        </w:rPr>
      </w:pPr>
      <w:r w:rsidRPr="00B85E4D">
        <w:rPr>
          <w:sz w:val="24"/>
          <w:szCs w:val="24"/>
          <w:lang w:val="en-GB"/>
        </w:rPr>
        <w:tab/>
        <w:t xml:space="preserve">DF = the pre-funded contributions to the default fund of a non-qualifying CCP; and </w:t>
      </w:r>
    </w:p>
    <w:p w14:paraId="076D92C9" w14:textId="7707396C" w:rsidR="002F37E8" w:rsidRPr="00B85E4D" w:rsidRDefault="002F37E8" w:rsidP="00B578C7">
      <w:pPr>
        <w:tabs>
          <w:tab w:val="left" w:pos="518"/>
        </w:tabs>
        <w:spacing w:after="0"/>
        <w:jc w:val="both"/>
        <w:rPr>
          <w:sz w:val="24"/>
          <w:szCs w:val="24"/>
          <w:lang w:val="en-GB"/>
        </w:rPr>
      </w:pPr>
      <w:r w:rsidRPr="00B85E4D">
        <w:rPr>
          <w:sz w:val="24"/>
          <w:szCs w:val="24"/>
          <w:lang w:val="en-GB"/>
        </w:rPr>
        <w:tab/>
        <w:t xml:space="preserve">UC = the unfunded contributions to the default fund of a non-qualifying CCP. </w:t>
      </w:r>
    </w:p>
    <w:p w14:paraId="7A27E2C6" w14:textId="77777777" w:rsidR="002F37E8" w:rsidRPr="00B85E4D" w:rsidRDefault="002F37E8" w:rsidP="00B578C7">
      <w:pPr>
        <w:tabs>
          <w:tab w:val="left" w:pos="518"/>
        </w:tabs>
        <w:spacing w:after="0"/>
        <w:jc w:val="both"/>
        <w:rPr>
          <w:sz w:val="24"/>
          <w:szCs w:val="24"/>
          <w:lang w:val="en-GB"/>
        </w:rPr>
      </w:pPr>
    </w:p>
    <w:p w14:paraId="2D95CDA6" w14:textId="48CD081E" w:rsidR="002F37E8" w:rsidRPr="00B85E4D" w:rsidRDefault="00437A4E" w:rsidP="00B578C7">
      <w:pPr>
        <w:tabs>
          <w:tab w:val="left" w:pos="518"/>
        </w:tabs>
        <w:spacing w:after="0"/>
        <w:jc w:val="both"/>
        <w:rPr>
          <w:sz w:val="24"/>
          <w:szCs w:val="24"/>
          <w:lang w:val="en-GB"/>
        </w:rPr>
      </w:pPr>
      <w:r w:rsidRPr="00B85E4D">
        <w:rPr>
          <w:b/>
          <w:bCs/>
          <w:sz w:val="24"/>
          <w:szCs w:val="24"/>
          <w:lang w:val="en-GB"/>
        </w:rPr>
        <w:tab/>
      </w:r>
      <w:r w:rsidR="002F37E8" w:rsidRPr="00B85E4D">
        <w:rPr>
          <w:b/>
          <w:bCs/>
          <w:sz w:val="24"/>
          <w:szCs w:val="24"/>
          <w:lang w:val="en-GB"/>
        </w:rPr>
        <w:t>154.</w:t>
      </w:r>
      <w:r w:rsidR="002F37E8" w:rsidRPr="00B85E4D">
        <w:rPr>
          <w:sz w:val="24"/>
          <w:szCs w:val="24"/>
          <w:lang w:val="en-GB"/>
        </w:rPr>
        <w:t xml:space="preserve"> A bank shall calculate the risk-weighted exposure amounts for exposures arising from that bank's contribution to the default fund of a non-qualifying CCP in accordance with the provisions of Regulation </w:t>
      </w:r>
      <w:r w:rsidR="00415B37">
        <w:rPr>
          <w:sz w:val="24"/>
          <w:szCs w:val="24"/>
          <w:lang w:val="en-GB"/>
        </w:rPr>
        <w:t>N</w:t>
      </w:r>
      <w:r w:rsidR="002F37E8" w:rsidRPr="00B85E4D">
        <w:rPr>
          <w:sz w:val="24"/>
          <w:szCs w:val="24"/>
          <w:lang w:val="en-GB"/>
        </w:rPr>
        <w:t xml:space="preserve">o. 109/2018 </w:t>
      </w:r>
      <w:r w:rsidRPr="00B85E4D">
        <w:rPr>
          <w:rFonts w:eastAsia="Times New Roman" w:cs="Times New Roman"/>
          <w:sz w:val="24"/>
          <w:szCs w:val="24"/>
          <w:lang w:val="en-GB" w:eastAsia="ro-RO"/>
        </w:rPr>
        <w:t xml:space="preserve">by multiplying by 10 the own funds requirement calculated in accordance with paragraph </w:t>
      </w:r>
      <w:proofErr w:type="gramStart"/>
      <w:r w:rsidRPr="00B85E4D">
        <w:rPr>
          <w:rFonts w:eastAsia="Times New Roman" w:cs="Times New Roman"/>
          <w:sz w:val="24"/>
          <w:szCs w:val="24"/>
          <w:lang w:val="en-GB" w:eastAsia="ro-RO"/>
        </w:rPr>
        <w:t>153</w:t>
      </w:r>
      <w:r w:rsidR="002F37E8" w:rsidRPr="00B85E4D">
        <w:rPr>
          <w:sz w:val="24"/>
          <w:szCs w:val="24"/>
          <w:lang w:val="en-GB"/>
        </w:rPr>
        <w:t>;</w:t>
      </w:r>
      <w:proofErr w:type="gramEnd"/>
    </w:p>
    <w:p w14:paraId="2FF88E99" w14:textId="77777777" w:rsidR="002F37E8" w:rsidRPr="00B85E4D" w:rsidRDefault="002F37E8" w:rsidP="00B578C7">
      <w:pPr>
        <w:tabs>
          <w:tab w:val="left" w:pos="518"/>
        </w:tabs>
        <w:spacing w:after="0"/>
        <w:jc w:val="both"/>
        <w:rPr>
          <w:sz w:val="24"/>
          <w:szCs w:val="24"/>
          <w:lang w:val="en-GB"/>
        </w:rPr>
      </w:pPr>
    </w:p>
    <w:p w14:paraId="0046DD19" w14:textId="77777777" w:rsidR="00437A4E" w:rsidRPr="00B85E4D" w:rsidRDefault="00437A4E" w:rsidP="00437A4E">
      <w:pPr>
        <w:spacing w:before="100" w:beforeAutospacing="1" w:after="100" w:afterAutospacing="1"/>
        <w:ind w:firstLine="708"/>
        <w:rPr>
          <w:rFonts w:eastAsia="Times New Roman" w:cs="Times New Roman"/>
          <w:sz w:val="24"/>
          <w:szCs w:val="24"/>
          <w:lang w:val="en-GB" w:eastAsia="ro-RO"/>
        </w:rPr>
      </w:pPr>
      <w:r w:rsidRPr="00B85E4D">
        <w:rPr>
          <w:rFonts w:eastAsia="Times New Roman" w:cs="Times New Roman"/>
          <w:b/>
          <w:bCs/>
          <w:sz w:val="24"/>
          <w:szCs w:val="24"/>
          <w:lang w:val="en-GB" w:eastAsia="ro-RO"/>
        </w:rPr>
        <w:t>155.</w:t>
      </w:r>
      <w:r w:rsidRPr="00B85E4D">
        <w:rPr>
          <w:rFonts w:eastAsia="Times New Roman" w:cs="Times New Roman"/>
          <w:sz w:val="24"/>
          <w:szCs w:val="24"/>
          <w:lang w:val="en-GB" w:eastAsia="ro-RO"/>
        </w:rPr>
        <w:t xml:space="preserve"> The bank shall apply a risk weight of 0 % to its unfunded contributions to the default fund of a QCCP.</w:t>
      </w:r>
    </w:p>
    <w:p w14:paraId="2EE0AD13" w14:textId="77777777" w:rsidR="00437A4E" w:rsidRPr="00B85E4D" w:rsidRDefault="00437A4E" w:rsidP="00B578C7">
      <w:pPr>
        <w:tabs>
          <w:tab w:val="left" w:pos="518"/>
        </w:tabs>
        <w:spacing w:after="0"/>
        <w:jc w:val="both"/>
        <w:rPr>
          <w:sz w:val="24"/>
          <w:szCs w:val="24"/>
          <w:lang w:val="en-GB"/>
        </w:rPr>
      </w:pPr>
    </w:p>
    <w:p w14:paraId="054FEADD" w14:textId="77777777" w:rsidR="00437A4E" w:rsidRPr="00B85E4D" w:rsidRDefault="00437A4E" w:rsidP="00B578C7">
      <w:pPr>
        <w:tabs>
          <w:tab w:val="left" w:pos="518"/>
        </w:tabs>
        <w:spacing w:after="0"/>
        <w:jc w:val="both"/>
        <w:rPr>
          <w:sz w:val="24"/>
          <w:szCs w:val="24"/>
          <w:lang w:val="en-GB"/>
        </w:rPr>
      </w:pPr>
    </w:p>
    <w:p w14:paraId="56AF1141" w14:textId="602B5C2E" w:rsidR="00437A4E" w:rsidRPr="00B85E4D" w:rsidRDefault="00437A4E" w:rsidP="00437A4E">
      <w:pPr>
        <w:tabs>
          <w:tab w:val="left" w:pos="518"/>
        </w:tabs>
        <w:spacing w:after="0"/>
        <w:jc w:val="center"/>
        <w:rPr>
          <w:i/>
          <w:iCs/>
          <w:sz w:val="24"/>
          <w:szCs w:val="24"/>
          <w:lang w:val="en-GB"/>
        </w:rPr>
      </w:pPr>
      <w:r w:rsidRPr="00B85E4D">
        <w:rPr>
          <w:i/>
          <w:iCs/>
          <w:sz w:val="24"/>
          <w:szCs w:val="24"/>
          <w:lang w:val="en-GB"/>
        </w:rPr>
        <w:t>Section 9</w:t>
      </w:r>
    </w:p>
    <w:p w14:paraId="2AF6F1EC" w14:textId="7A7C2DD8" w:rsidR="00437A4E" w:rsidRPr="00B85E4D" w:rsidRDefault="002F37E8" w:rsidP="00437A4E">
      <w:pPr>
        <w:tabs>
          <w:tab w:val="left" w:pos="518"/>
        </w:tabs>
        <w:spacing w:after="0"/>
        <w:jc w:val="center"/>
        <w:rPr>
          <w:b/>
          <w:bCs/>
          <w:sz w:val="24"/>
          <w:szCs w:val="24"/>
          <w:lang w:val="en-GB"/>
        </w:rPr>
      </w:pPr>
      <w:r w:rsidRPr="00B85E4D">
        <w:rPr>
          <w:b/>
          <w:bCs/>
          <w:sz w:val="24"/>
          <w:szCs w:val="24"/>
          <w:lang w:val="en-GB"/>
        </w:rPr>
        <w:t xml:space="preserve">Own funds requirements for exposures to CCPs that cease to meet certain </w:t>
      </w:r>
      <w:proofErr w:type="gramStart"/>
      <w:r w:rsidRPr="00B85E4D">
        <w:rPr>
          <w:b/>
          <w:bCs/>
          <w:sz w:val="24"/>
          <w:szCs w:val="24"/>
          <w:lang w:val="en-GB"/>
        </w:rPr>
        <w:t>conditions</w:t>
      </w:r>
      <w:proofErr w:type="gramEnd"/>
    </w:p>
    <w:p w14:paraId="7DEBF538" w14:textId="77777777" w:rsidR="00437A4E" w:rsidRPr="00B85E4D" w:rsidRDefault="00437A4E" w:rsidP="00B578C7">
      <w:pPr>
        <w:tabs>
          <w:tab w:val="left" w:pos="518"/>
        </w:tabs>
        <w:spacing w:after="0"/>
        <w:jc w:val="both"/>
        <w:rPr>
          <w:sz w:val="24"/>
          <w:szCs w:val="24"/>
          <w:lang w:val="en-GB"/>
        </w:rPr>
      </w:pPr>
    </w:p>
    <w:p w14:paraId="1ADD915D" w14:textId="08D50C45" w:rsidR="00437A4E" w:rsidRPr="00B85E4D" w:rsidRDefault="00437A4E" w:rsidP="00B578C7">
      <w:pPr>
        <w:tabs>
          <w:tab w:val="left" w:pos="518"/>
        </w:tabs>
        <w:spacing w:after="0"/>
        <w:jc w:val="both"/>
        <w:rPr>
          <w:sz w:val="24"/>
          <w:szCs w:val="24"/>
          <w:lang w:val="en-GB"/>
        </w:rPr>
      </w:pPr>
      <w:r w:rsidRPr="00B85E4D">
        <w:rPr>
          <w:b/>
          <w:bCs/>
          <w:sz w:val="24"/>
          <w:szCs w:val="24"/>
          <w:lang w:val="en-GB"/>
        </w:rPr>
        <w:tab/>
        <w:t>156.</w:t>
      </w:r>
      <w:r w:rsidRPr="00B85E4D">
        <w:rPr>
          <w:sz w:val="24"/>
          <w:szCs w:val="24"/>
          <w:lang w:val="en-GB"/>
        </w:rPr>
        <w:t xml:space="preserve"> Banks</w:t>
      </w:r>
      <w:r w:rsidR="002F37E8" w:rsidRPr="00B85E4D">
        <w:rPr>
          <w:sz w:val="24"/>
          <w:szCs w:val="24"/>
          <w:lang w:val="en-GB"/>
        </w:rPr>
        <w:t xml:space="preserve"> shall apply the treatment set out in this Article where it has become known to them, following a public announcement or notification from the </w:t>
      </w:r>
      <w:r w:rsidRPr="00B85E4D">
        <w:rPr>
          <w:sz w:val="24"/>
          <w:szCs w:val="24"/>
          <w:lang w:val="en-GB"/>
        </w:rPr>
        <w:t>National Bank of Moldova</w:t>
      </w:r>
      <w:r w:rsidR="002F37E8" w:rsidRPr="00B85E4D">
        <w:rPr>
          <w:sz w:val="24"/>
          <w:szCs w:val="24"/>
          <w:lang w:val="en-GB"/>
        </w:rPr>
        <w:t xml:space="preserve"> of a CCP used by those </w:t>
      </w:r>
      <w:r w:rsidR="00865CE4" w:rsidRPr="00B85E4D">
        <w:rPr>
          <w:sz w:val="24"/>
          <w:szCs w:val="24"/>
          <w:lang w:val="en-GB"/>
        </w:rPr>
        <w:t>bank</w:t>
      </w:r>
      <w:r w:rsidR="002F37E8" w:rsidRPr="00B85E4D">
        <w:rPr>
          <w:sz w:val="24"/>
          <w:szCs w:val="24"/>
          <w:lang w:val="en-GB"/>
        </w:rPr>
        <w:t xml:space="preserve">s or from that CCP itself, that the CCP will no longer comply with the conditions for authorisation or recognition, as applicable. </w:t>
      </w:r>
    </w:p>
    <w:p w14:paraId="685D6F41" w14:textId="346E8998" w:rsidR="00437A4E" w:rsidRPr="00B85E4D" w:rsidRDefault="00437A4E" w:rsidP="00B578C7">
      <w:pPr>
        <w:tabs>
          <w:tab w:val="left" w:pos="518"/>
        </w:tabs>
        <w:spacing w:after="0"/>
        <w:jc w:val="both"/>
        <w:rPr>
          <w:sz w:val="24"/>
          <w:szCs w:val="24"/>
          <w:lang w:val="en-GB"/>
        </w:rPr>
      </w:pPr>
      <w:r w:rsidRPr="00B85E4D">
        <w:rPr>
          <w:b/>
          <w:bCs/>
          <w:sz w:val="24"/>
          <w:szCs w:val="24"/>
          <w:lang w:val="en-GB"/>
        </w:rPr>
        <w:tab/>
        <w:t>157.</w:t>
      </w:r>
      <w:r w:rsidRPr="00B85E4D">
        <w:rPr>
          <w:sz w:val="24"/>
          <w:szCs w:val="24"/>
          <w:lang w:val="en-GB"/>
        </w:rPr>
        <w:t xml:space="preserve"> </w:t>
      </w:r>
      <w:r w:rsidR="002F37E8" w:rsidRPr="00B85E4D">
        <w:rPr>
          <w:sz w:val="24"/>
          <w:szCs w:val="24"/>
          <w:lang w:val="en-GB"/>
        </w:rPr>
        <w:t xml:space="preserve">Where the condition set out in paragraph </w:t>
      </w:r>
      <w:r w:rsidRPr="00B85E4D">
        <w:rPr>
          <w:sz w:val="24"/>
          <w:szCs w:val="24"/>
          <w:lang w:val="en-GB"/>
        </w:rPr>
        <w:t>156</w:t>
      </w:r>
      <w:r w:rsidR="002F37E8" w:rsidRPr="00B85E4D">
        <w:rPr>
          <w:sz w:val="24"/>
          <w:szCs w:val="24"/>
          <w:lang w:val="en-GB"/>
        </w:rPr>
        <w:t xml:space="preserve"> is met, </w:t>
      </w:r>
      <w:r w:rsidR="00865CE4" w:rsidRPr="00B85E4D">
        <w:rPr>
          <w:sz w:val="24"/>
          <w:szCs w:val="24"/>
          <w:lang w:val="en-GB"/>
        </w:rPr>
        <w:t>bank</w:t>
      </w:r>
      <w:r w:rsidR="002F37E8" w:rsidRPr="00B85E4D">
        <w:rPr>
          <w:sz w:val="24"/>
          <w:szCs w:val="24"/>
          <w:lang w:val="en-GB"/>
        </w:rPr>
        <w:t xml:space="preserve"> shall, within three months of becoming aware of the circumstance referred to therein, or at an earlier time if the </w:t>
      </w:r>
      <w:r w:rsidRPr="00B85E4D">
        <w:rPr>
          <w:sz w:val="24"/>
          <w:szCs w:val="24"/>
          <w:lang w:val="en-GB"/>
        </w:rPr>
        <w:t>National Bank of Moldova</w:t>
      </w:r>
      <w:r w:rsidR="002F37E8" w:rsidRPr="00B85E4D">
        <w:rPr>
          <w:sz w:val="24"/>
          <w:szCs w:val="24"/>
          <w:lang w:val="en-GB"/>
        </w:rPr>
        <w:t xml:space="preserve"> of those </w:t>
      </w:r>
      <w:r w:rsidRPr="00B85E4D">
        <w:rPr>
          <w:sz w:val="24"/>
          <w:szCs w:val="24"/>
          <w:lang w:val="en-GB"/>
        </w:rPr>
        <w:t>banks</w:t>
      </w:r>
      <w:r w:rsidR="002F37E8" w:rsidRPr="00B85E4D">
        <w:rPr>
          <w:sz w:val="24"/>
          <w:szCs w:val="24"/>
          <w:lang w:val="en-GB"/>
        </w:rPr>
        <w:t xml:space="preserve"> so require, do the following with respect to their exposures to that CCP: </w:t>
      </w:r>
    </w:p>
    <w:p w14:paraId="4960E6EC" w14:textId="20AA8B3A" w:rsidR="00437A4E" w:rsidRPr="00B85E4D" w:rsidRDefault="00437A4E" w:rsidP="00B578C7">
      <w:pPr>
        <w:tabs>
          <w:tab w:val="left" w:pos="518"/>
        </w:tabs>
        <w:spacing w:after="0"/>
        <w:jc w:val="both"/>
        <w:rPr>
          <w:sz w:val="24"/>
          <w:szCs w:val="24"/>
          <w:lang w:val="en-GB"/>
        </w:rPr>
      </w:pPr>
      <w:r w:rsidRPr="00B85E4D">
        <w:rPr>
          <w:sz w:val="24"/>
          <w:szCs w:val="24"/>
          <w:lang w:val="en-GB"/>
        </w:rPr>
        <w:tab/>
        <w:t xml:space="preserve">157.1. </w:t>
      </w:r>
      <w:r w:rsidR="002F37E8" w:rsidRPr="00B85E4D">
        <w:rPr>
          <w:sz w:val="24"/>
          <w:szCs w:val="24"/>
          <w:lang w:val="en-GB"/>
        </w:rPr>
        <w:t xml:space="preserve">apply the treatment set out in </w:t>
      </w:r>
      <w:r w:rsidRPr="00B85E4D">
        <w:rPr>
          <w:sz w:val="24"/>
          <w:szCs w:val="24"/>
          <w:lang w:val="en-GB"/>
        </w:rPr>
        <w:t>paragraph 145, subparagraph 145.2.</w:t>
      </w:r>
      <w:r w:rsidR="002F37E8" w:rsidRPr="00B85E4D">
        <w:rPr>
          <w:sz w:val="24"/>
          <w:szCs w:val="24"/>
          <w:lang w:val="en-GB"/>
        </w:rPr>
        <w:t xml:space="preserve"> to their trade exposures to that </w:t>
      </w:r>
      <w:proofErr w:type="gramStart"/>
      <w:r w:rsidR="002F37E8" w:rsidRPr="00B85E4D">
        <w:rPr>
          <w:sz w:val="24"/>
          <w:szCs w:val="24"/>
          <w:lang w:val="en-GB"/>
        </w:rPr>
        <w:t>CCP;</w:t>
      </w:r>
      <w:proofErr w:type="gramEnd"/>
      <w:r w:rsidR="002F37E8" w:rsidRPr="00B85E4D">
        <w:rPr>
          <w:sz w:val="24"/>
          <w:szCs w:val="24"/>
          <w:lang w:val="en-GB"/>
        </w:rPr>
        <w:t xml:space="preserve"> </w:t>
      </w:r>
    </w:p>
    <w:p w14:paraId="6D44FDE6" w14:textId="77777777" w:rsidR="00437A4E" w:rsidRPr="00B85E4D" w:rsidRDefault="00437A4E" w:rsidP="00B578C7">
      <w:pPr>
        <w:tabs>
          <w:tab w:val="left" w:pos="518"/>
        </w:tabs>
        <w:spacing w:after="0"/>
        <w:jc w:val="both"/>
        <w:rPr>
          <w:sz w:val="24"/>
          <w:szCs w:val="24"/>
          <w:lang w:val="en-GB"/>
        </w:rPr>
      </w:pPr>
      <w:r w:rsidRPr="00B85E4D">
        <w:rPr>
          <w:sz w:val="24"/>
          <w:szCs w:val="24"/>
          <w:lang w:val="en-GB"/>
        </w:rPr>
        <w:tab/>
        <w:t xml:space="preserve">157.2. </w:t>
      </w:r>
      <w:r w:rsidR="002F37E8" w:rsidRPr="00B85E4D">
        <w:rPr>
          <w:sz w:val="24"/>
          <w:szCs w:val="24"/>
          <w:lang w:val="en-GB"/>
        </w:rPr>
        <w:t xml:space="preserve">apply the treatment set out in </w:t>
      </w:r>
      <w:r w:rsidRPr="00B85E4D">
        <w:rPr>
          <w:sz w:val="24"/>
          <w:szCs w:val="24"/>
          <w:lang w:val="en-GB"/>
        </w:rPr>
        <w:t xml:space="preserve">paragraph 153 and 154 </w:t>
      </w:r>
      <w:r w:rsidR="002F37E8" w:rsidRPr="00B85E4D">
        <w:rPr>
          <w:sz w:val="24"/>
          <w:szCs w:val="24"/>
          <w:lang w:val="en-GB"/>
        </w:rPr>
        <w:t xml:space="preserve">to their pre-funded contributions to the default fund of that CCP and to its unfunded contributions to that </w:t>
      </w:r>
      <w:proofErr w:type="gramStart"/>
      <w:r w:rsidR="002F37E8" w:rsidRPr="00B85E4D">
        <w:rPr>
          <w:sz w:val="24"/>
          <w:szCs w:val="24"/>
          <w:lang w:val="en-GB"/>
        </w:rPr>
        <w:t>CCP;</w:t>
      </w:r>
      <w:proofErr w:type="gramEnd"/>
      <w:r w:rsidR="002F37E8" w:rsidRPr="00B85E4D">
        <w:rPr>
          <w:sz w:val="24"/>
          <w:szCs w:val="24"/>
          <w:lang w:val="en-GB"/>
        </w:rPr>
        <w:t xml:space="preserve"> </w:t>
      </w:r>
    </w:p>
    <w:p w14:paraId="62F7600D" w14:textId="01CB76F6" w:rsidR="002F37E8" w:rsidRPr="00B85E4D" w:rsidRDefault="00437A4E" w:rsidP="00B578C7">
      <w:pPr>
        <w:tabs>
          <w:tab w:val="left" w:pos="518"/>
        </w:tabs>
        <w:spacing w:after="0"/>
        <w:jc w:val="both"/>
        <w:rPr>
          <w:sz w:val="24"/>
          <w:szCs w:val="24"/>
          <w:lang w:val="en-GB"/>
        </w:rPr>
      </w:pPr>
      <w:r w:rsidRPr="00B85E4D">
        <w:rPr>
          <w:sz w:val="24"/>
          <w:szCs w:val="24"/>
          <w:lang w:val="en-GB"/>
        </w:rPr>
        <w:t xml:space="preserve">157.3. </w:t>
      </w:r>
      <w:r w:rsidR="002F37E8" w:rsidRPr="00B85E4D">
        <w:rPr>
          <w:sz w:val="24"/>
          <w:szCs w:val="24"/>
          <w:lang w:val="en-GB"/>
        </w:rPr>
        <w:t xml:space="preserve">treat their exposures to that CCP, other than the exposures listed in </w:t>
      </w:r>
      <w:r w:rsidRPr="00B85E4D">
        <w:rPr>
          <w:sz w:val="24"/>
          <w:szCs w:val="24"/>
          <w:lang w:val="en-GB"/>
        </w:rPr>
        <w:t>subparagraphs 157.1. and 157.2.</w:t>
      </w:r>
      <w:r w:rsidR="002F37E8" w:rsidRPr="00B85E4D">
        <w:rPr>
          <w:sz w:val="24"/>
          <w:szCs w:val="24"/>
          <w:lang w:val="en-GB"/>
        </w:rPr>
        <w:t xml:space="preserve">, as exposures to a corporate in accordance with the Standardised Approach for credit risk set out in </w:t>
      </w:r>
      <w:r w:rsidRPr="00B85E4D">
        <w:rPr>
          <w:sz w:val="24"/>
          <w:szCs w:val="24"/>
          <w:lang w:val="en-GB"/>
        </w:rPr>
        <w:t xml:space="preserve">Regulation </w:t>
      </w:r>
      <w:r w:rsidR="00415B37">
        <w:rPr>
          <w:sz w:val="24"/>
          <w:szCs w:val="24"/>
          <w:lang w:val="en-GB"/>
        </w:rPr>
        <w:t>N</w:t>
      </w:r>
      <w:r w:rsidRPr="00B85E4D">
        <w:rPr>
          <w:sz w:val="24"/>
          <w:szCs w:val="24"/>
          <w:lang w:val="en-GB"/>
        </w:rPr>
        <w:t>o.111/2018</w:t>
      </w:r>
      <w:r w:rsidR="002F37E8" w:rsidRPr="00B85E4D">
        <w:rPr>
          <w:sz w:val="24"/>
          <w:szCs w:val="24"/>
          <w:lang w:val="en-GB"/>
        </w:rPr>
        <w:t>.</w:t>
      </w:r>
    </w:p>
    <w:p w14:paraId="616FF4C6" w14:textId="77777777" w:rsidR="00437A4E" w:rsidRPr="00B85E4D" w:rsidRDefault="00437A4E" w:rsidP="00B578C7">
      <w:pPr>
        <w:tabs>
          <w:tab w:val="left" w:pos="518"/>
        </w:tabs>
        <w:spacing w:after="0"/>
        <w:jc w:val="both"/>
        <w:rPr>
          <w:sz w:val="24"/>
          <w:szCs w:val="24"/>
          <w:lang w:val="en-GB"/>
        </w:rPr>
      </w:pPr>
    </w:p>
    <w:p w14:paraId="7ED52BAE" w14:textId="77777777" w:rsidR="00437A4E" w:rsidRPr="00B85E4D" w:rsidRDefault="00437A4E" w:rsidP="00B578C7">
      <w:pPr>
        <w:tabs>
          <w:tab w:val="left" w:pos="518"/>
        </w:tabs>
        <w:spacing w:after="0"/>
        <w:jc w:val="both"/>
        <w:rPr>
          <w:sz w:val="24"/>
          <w:szCs w:val="24"/>
          <w:lang w:val="en-GB"/>
        </w:rPr>
      </w:pPr>
    </w:p>
    <w:p w14:paraId="5E3457F6" w14:textId="77777777" w:rsidR="00401023" w:rsidRPr="00B85E4D" w:rsidRDefault="00401023" w:rsidP="00437A4E">
      <w:pPr>
        <w:tabs>
          <w:tab w:val="left" w:pos="518"/>
        </w:tabs>
        <w:spacing w:after="0"/>
        <w:jc w:val="right"/>
        <w:rPr>
          <w:rFonts w:cs="Times New Roman"/>
          <w:i/>
          <w:iCs/>
          <w:sz w:val="24"/>
          <w:szCs w:val="24"/>
          <w:lang w:val="en-GB"/>
        </w:rPr>
      </w:pPr>
    </w:p>
    <w:p w14:paraId="630E9C80" w14:textId="77777777" w:rsidR="00401023" w:rsidRPr="00B85E4D" w:rsidRDefault="00401023" w:rsidP="00437A4E">
      <w:pPr>
        <w:tabs>
          <w:tab w:val="left" w:pos="518"/>
        </w:tabs>
        <w:spacing w:after="0"/>
        <w:jc w:val="right"/>
        <w:rPr>
          <w:rFonts w:cs="Times New Roman"/>
          <w:i/>
          <w:iCs/>
          <w:sz w:val="24"/>
          <w:szCs w:val="24"/>
          <w:lang w:val="en-GB"/>
        </w:rPr>
      </w:pPr>
    </w:p>
    <w:p w14:paraId="2C8E0863" w14:textId="77777777" w:rsidR="00401023" w:rsidRPr="00B85E4D" w:rsidRDefault="00401023" w:rsidP="00437A4E">
      <w:pPr>
        <w:tabs>
          <w:tab w:val="left" w:pos="518"/>
        </w:tabs>
        <w:spacing w:after="0"/>
        <w:jc w:val="right"/>
        <w:rPr>
          <w:rFonts w:cs="Times New Roman"/>
          <w:i/>
          <w:iCs/>
          <w:sz w:val="24"/>
          <w:szCs w:val="24"/>
          <w:lang w:val="en-GB"/>
        </w:rPr>
      </w:pPr>
    </w:p>
    <w:p w14:paraId="5F7B2D30" w14:textId="77777777" w:rsidR="00401023" w:rsidRPr="00B85E4D" w:rsidRDefault="00401023" w:rsidP="00437A4E">
      <w:pPr>
        <w:tabs>
          <w:tab w:val="left" w:pos="518"/>
        </w:tabs>
        <w:spacing w:after="0"/>
        <w:jc w:val="right"/>
        <w:rPr>
          <w:rFonts w:cs="Times New Roman"/>
          <w:i/>
          <w:iCs/>
          <w:sz w:val="24"/>
          <w:szCs w:val="24"/>
          <w:lang w:val="en-GB"/>
        </w:rPr>
      </w:pPr>
    </w:p>
    <w:p w14:paraId="68270FFC" w14:textId="77777777" w:rsidR="00401023" w:rsidRPr="00B85E4D" w:rsidRDefault="00401023" w:rsidP="00437A4E">
      <w:pPr>
        <w:tabs>
          <w:tab w:val="left" w:pos="518"/>
        </w:tabs>
        <w:spacing w:after="0"/>
        <w:jc w:val="right"/>
        <w:rPr>
          <w:rFonts w:cs="Times New Roman"/>
          <w:i/>
          <w:iCs/>
          <w:sz w:val="24"/>
          <w:szCs w:val="24"/>
          <w:lang w:val="en-GB"/>
        </w:rPr>
      </w:pPr>
    </w:p>
    <w:p w14:paraId="524A60EE" w14:textId="77777777" w:rsidR="00401023" w:rsidRPr="00B85E4D" w:rsidRDefault="00401023" w:rsidP="00437A4E">
      <w:pPr>
        <w:tabs>
          <w:tab w:val="left" w:pos="518"/>
        </w:tabs>
        <w:spacing w:after="0"/>
        <w:jc w:val="right"/>
        <w:rPr>
          <w:rFonts w:cs="Times New Roman"/>
          <w:i/>
          <w:iCs/>
          <w:sz w:val="24"/>
          <w:szCs w:val="24"/>
          <w:lang w:val="en-GB"/>
        </w:rPr>
      </w:pPr>
    </w:p>
    <w:p w14:paraId="57BD6B4E" w14:textId="77777777" w:rsidR="00401023" w:rsidRPr="00B85E4D" w:rsidRDefault="00401023" w:rsidP="00437A4E">
      <w:pPr>
        <w:tabs>
          <w:tab w:val="left" w:pos="518"/>
        </w:tabs>
        <w:spacing w:after="0"/>
        <w:jc w:val="right"/>
        <w:rPr>
          <w:rFonts w:cs="Times New Roman"/>
          <w:i/>
          <w:iCs/>
          <w:sz w:val="24"/>
          <w:szCs w:val="24"/>
          <w:lang w:val="en-GB"/>
        </w:rPr>
      </w:pPr>
    </w:p>
    <w:p w14:paraId="270F6215" w14:textId="77777777" w:rsidR="00401023" w:rsidRPr="00B85E4D" w:rsidRDefault="00401023" w:rsidP="00437A4E">
      <w:pPr>
        <w:tabs>
          <w:tab w:val="left" w:pos="518"/>
        </w:tabs>
        <w:spacing w:after="0"/>
        <w:jc w:val="right"/>
        <w:rPr>
          <w:rFonts w:cs="Times New Roman"/>
          <w:i/>
          <w:iCs/>
          <w:sz w:val="24"/>
          <w:szCs w:val="24"/>
          <w:lang w:val="en-GB"/>
        </w:rPr>
      </w:pPr>
    </w:p>
    <w:p w14:paraId="7347CCFF" w14:textId="77777777" w:rsidR="00401023" w:rsidRPr="00B85E4D" w:rsidRDefault="00401023" w:rsidP="00437A4E">
      <w:pPr>
        <w:tabs>
          <w:tab w:val="left" w:pos="518"/>
        </w:tabs>
        <w:spacing w:after="0"/>
        <w:jc w:val="right"/>
        <w:rPr>
          <w:rFonts w:cs="Times New Roman"/>
          <w:i/>
          <w:iCs/>
          <w:sz w:val="24"/>
          <w:szCs w:val="24"/>
          <w:lang w:val="en-GB"/>
        </w:rPr>
      </w:pPr>
    </w:p>
    <w:p w14:paraId="4F39FA43" w14:textId="77777777" w:rsidR="00401023" w:rsidRPr="00B85E4D" w:rsidRDefault="00401023" w:rsidP="00437A4E">
      <w:pPr>
        <w:tabs>
          <w:tab w:val="left" w:pos="518"/>
        </w:tabs>
        <w:spacing w:after="0"/>
        <w:jc w:val="right"/>
        <w:rPr>
          <w:rFonts w:cs="Times New Roman"/>
          <w:i/>
          <w:iCs/>
          <w:sz w:val="24"/>
          <w:szCs w:val="24"/>
          <w:lang w:val="en-GB"/>
        </w:rPr>
      </w:pPr>
    </w:p>
    <w:p w14:paraId="63DD4BA5" w14:textId="77777777" w:rsidR="00401023" w:rsidRPr="00B85E4D" w:rsidRDefault="00401023" w:rsidP="00437A4E">
      <w:pPr>
        <w:tabs>
          <w:tab w:val="left" w:pos="518"/>
        </w:tabs>
        <w:spacing w:after="0"/>
        <w:jc w:val="right"/>
        <w:rPr>
          <w:rFonts w:cs="Times New Roman"/>
          <w:i/>
          <w:iCs/>
          <w:sz w:val="24"/>
          <w:szCs w:val="24"/>
          <w:lang w:val="en-GB"/>
        </w:rPr>
      </w:pPr>
    </w:p>
    <w:p w14:paraId="4AA24A3E" w14:textId="77777777" w:rsidR="00401023" w:rsidRPr="00B85E4D" w:rsidRDefault="00401023" w:rsidP="00437A4E">
      <w:pPr>
        <w:tabs>
          <w:tab w:val="left" w:pos="518"/>
        </w:tabs>
        <w:spacing w:after="0"/>
        <w:jc w:val="right"/>
        <w:rPr>
          <w:rFonts w:cs="Times New Roman"/>
          <w:i/>
          <w:iCs/>
          <w:sz w:val="24"/>
          <w:szCs w:val="24"/>
          <w:lang w:val="en-GB"/>
        </w:rPr>
      </w:pPr>
    </w:p>
    <w:p w14:paraId="594D0952" w14:textId="77777777" w:rsidR="00401023" w:rsidRPr="00B85E4D" w:rsidRDefault="00401023" w:rsidP="00437A4E">
      <w:pPr>
        <w:tabs>
          <w:tab w:val="left" w:pos="518"/>
        </w:tabs>
        <w:spacing w:after="0"/>
        <w:jc w:val="right"/>
        <w:rPr>
          <w:rFonts w:cs="Times New Roman"/>
          <w:i/>
          <w:iCs/>
          <w:sz w:val="24"/>
          <w:szCs w:val="24"/>
          <w:lang w:val="en-GB"/>
        </w:rPr>
      </w:pPr>
    </w:p>
    <w:p w14:paraId="65515ADC" w14:textId="77777777" w:rsidR="00401023" w:rsidRPr="00B85E4D" w:rsidRDefault="00401023" w:rsidP="00437A4E">
      <w:pPr>
        <w:tabs>
          <w:tab w:val="left" w:pos="518"/>
        </w:tabs>
        <w:spacing w:after="0"/>
        <w:jc w:val="right"/>
        <w:rPr>
          <w:rFonts w:cs="Times New Roman"/>
          <w:i/>
          <w:iCs/>
          <w:sz w:val="24"/>
          <w:szCs w:val="24"/>
          <w:lang w:val="en-GB"/>
        </w:rPr>
      </w:pPr>
    </w:p>
    <w:p w14:paraId="0FDADFD1" w14:textId="77777777" w:rsidR="00401023" w:rsidRPr="00B85E4D" w:rsidRDefault="00401023" w:rsidP="00437A4E">
      <w:pPr>
        <w:tabs>
          <w:tab w:val="left" w:pos="518"/>
        </w:tabs>
        <w:spacing w:after="0"/>
        <w:jc w:val="right"/>
        <w:rPr>
          <w:rFonts w:cs="Times New Roman"/>
          <w:i/>
          <w:iCs/>
          <w:sz w:val="24"/>
          <w:szCs w:val="24"/>
          <w:lang w:val="en-GB"/>
        </w:rPr>
      </w:pPr>
    </w:p>
    <w:p w14:paraId="6FC10D27" w14:textId="77777777" w:rsidR="00401023" w:rsidRPr="00B85E4D" w:rsidRDefault="00401023" w:rsidP="00437A4E">
      <w:pPr>
        <w:tabs>
          <w:tab w:val="left" w:pos="518"/>
        </w:tabs>
        <w:spacing w:after="0"/>
        <w:jc w:val="right"/>
        <w:rPr>
          <w:rFonts w:cs="Times New Roman"/>
          <w:i/>
          <w:iCs/>
          <w:sz w:val="24"/>
          <w:szCs w:val="24"/>
          <w:lang w:val="en-GB"/>
        </w:rPr>
      </w:pPr>
    </w:p>
    <w:p w14:paraId="33F3897C" w14:textId="77777777" w:rsidR="00401023" w:rsidRPr="00B85E4D" w:rsidRDefault="00401023" w:rsidP="00437A4E">
      <w:pPr>
        <w:tabs>
          <w:tab w:val="left" w:pos="518"/>
        </w:tabs>
        <w:spacing w:after="0"/>
        <w:jc w:val="right"/>
        <w:rPr>
          <w:rFonts w:cs="Times New Roman"/>
          <w:i/>
          <w:iCs/>
          <w:sz w:val="24"/>
          <w:szCs w:val="24"/>
          <w:lang w:val="en-GB"/>
        </w:rPr>
      </w:pPr>
    </w:p>
    <w:p w14:paraId="6D353E0A" w14:textId="77777777" w:rsidR="00401023" w:rsidRPr="00B85E4D" w:rsidRDefault="00401023" w:rsidP="00437A4E">
      <w:pPr>
        <w:tabs>
          <w:tab w:val="left" w:pos="518"/>
        </w:tabs>
        <w:spacing w:after="0"/>
        <w:jc w:val="right"/>
        <w:rPr>
          <w:rFonts w:cs="Times New Roman"/>
          <w:i/>
          <w:iCs/>
          <w:sz w:val="24"/>
          <w:szCs w:val="24"/>
          <w:lang w:val="en-GB"/>
        </w:rPr>
      </w:pPr>
    </w:p>
    <w:p w14:paraId="646065C3" w14:textId="77777777" w:rsidR="00401023" w:rsidRPr="00B85E4D" w:rsidRDefault="00401023" w:rsidP="00437A4E">
      <w:pPr>
        <w:tabs>
          <w:tab w:val="left" w:pos="518"/>
        </w:tabs>
        <w:spacing w:after="0"/>
        <w:jc w:val="right"/>
        <w:rPr>
          <w:rFonts w:cs="Times New Roman"/>
          <w:i/>
          <w:iCs/>
          <w:sz w:val="24"/>
          <w:szCs w:val="24"/>
          <w:lang w:val="en-GB"/>
        </w:rPr>
      </w:pPr>
    </w:p>
    <w:p w14:paraId="1107B199" w14:textId="77777777" w:rsidR="00401023" w:rsidRPr="00B85E4D" w:rsidRDefault="00401023" w:rsidP="00437A4E">
      <w:pPr>
        <w:tabs>
          <w:tab w:val="left" w:pos="518"/>
        </w:tabs>
        <w:spacing w:after="0"/>
        <w:jc w:val="right"/>
        <w:rPr>
          <w:rFonts w:cs="Times New Roman"/>
          <w:i/>
          <w:iCs/>
          <w:sz w:val="24"/>
          <w:szCs w:val="24"/>
          <w:lang w:val="en-GB"/>
        </w:rPr>
      </w:pPr>
    </w:p>
    <w:p w14:paraId="397F9716" w14:textId="612CDC2E" w:rsidR="00437A4E" w:rsidRPr="00B85E4D" w:rsidRDefault="00437A4E" w:rsidP="00437A4E">
      <w:pPr>
        <w:tabs>
          <w:tab w:val="left" w:pos="518"/>
        </w:tabs>
        <w:spacing w:after="0"/>
        <w:jc w:val="right"/>
        <w:rPr>
          <w:rFonts w:cs="Times New Roman"/>
          <w:i/>
          <w:iCs/>
          <w:sz w:val="24"/>
          <w:szCs w:val="24"/>
          <w:lang w:val="en-GB"/>
        </w:rPr>
      </w:pPr>
      <w:r w:rsidRPr="00B85E4D">
        <w:rPr>
          <w:rFonts w:cs="Times New Roman"/>
          <w:i/>
          <w:iCs/>
          <w:sz w:val="24"/>
          <w:szCs w:val="24"/>
          <w:lang w:val="en-GB"/>
        </w:rPr>
        <w:t>Annex</w:t>
      </w:r>
    </w:p>
    <w:p w14:paraId="2BD9BA28" w14:textId="77777777" w:rsidR="00437A4E" w:rsidRPr="00B85E4D" w:rsidRDefault="00437A4E" w:rsidP="00437A4E">
      <w:pPr>
        <w:tabs>
          <w:tab w:val="left" w:pos="518"/>
        </w:tabs>
        <w:spacing w:after="0"/>
        <w:jc w:val="right"/>
        <w:rPr>
          <w:rFonts w:cs="Times New Roman"/>
          <w:i/>
          <w:iCs/>
          <w:sz w:val="24"/>
          <w:szCs w:val="24"/>
          <w:lang w:val="en-GB"/>
        </w:rPr>
      </w:pPr>
      <w:r w:rsidRPr="00B85E4D">
        <w:rPr>
          <w:rFonts w:cs="Times New Roman"/>
          <w:i/>
          <w:iCs/>
          <w:sz w:val="24"/>
          <w:szCs w:val="24"/>
          <w:lang w:val="en-GB"/>
        </w:rPr>
        <w:t xml:space="preserve">to the Regulation on the treatment </w:t>
      </w:r>
    </w:p>
    <w:p w14:paraId="57F6E89E" w14:textId="4B197CE8" w:rsidR="00437A4E" w:rsidRPr="00B85E4D" w:rsidRDefault="00437A4E" w:rsidP="00437A4E">
      <w:pPr>
        <w:tabs>
          <w:tab w:val="left" w:pos="518"/>
        </w:tabs>
        <w:spacing w:after="0"/>
        <w:jc w:val="right"/>
        <w:rPr>
          <w:rFonts w:cs="Times New Roman"/>
          <w:i/>
          <w:iCs/>
          <w:sz w:val="24"/>
          <w:szCs w:val="24"/>
          <w:lang w:val="en-GB"/>
        </w:rPr>
      </w:pPr>
      <w:r w:rsidRPr="00B85E4D">
        <w:rPr>
          <w:rFonts w:cs="Times New Roman"/>
          <w:i/>
          <w:iCs/>
          <w:sz w:val="24"/>
          <w:szCs w:val="24"/>
          <w:lang w:val="en-GB"/>
        </w:rPr>
        <w:t>of counterparty credit risk for banks</w:t>
      </w:r>
    </w:p>
    <w:p w14:paraId="3646CFD6" w14:textId="77777777" w:rsidR="00437A4E" w:rsidRPr="00B85E4D" w:rsidRDefault="00437A4E" w:rsidP="00437A4E">
      <w:pPr>
        <w:tabs>
          <w:tab w:val="left" w:pos="518"/>
        </w:tabs>
        <w:spacing w:after="0"/>
        <w:jc w:val="both"/>
        <w:rPr>
          <w:rFonts w:cs="Times New Roman"/>
          <w:sz w:val="24"/>
          <w:szCs w:val="24"/>
          <w:lang w:val="en-GB"/>
        </w:rPr>
      </w:pPr>
    </w:p>
    <w:p w14:paraId="2D5186D1" w14:textId="545B25AE" w:rsidR="00437A4E" w:rsidRPr="00B85E4D" w:rsidRDefault="00437A4E" w:rsidP="00437A4E">
      <w:pPr>
        <w:tabs>
          <w:tab w:val="left" w:pos="518"/>
        </w:tabs>
        <w:spacing w:after="0"/>
        <w:jc w:val="center"/>
        <w:rPr>
          <w:rFonts w:cs="Times New Roman"/>
          <w:b/>
          <w:bCs/>
          <w:sz w:val="24"/>
          <w:szCs w:val="24"/>
          <w:lang w:val="en-GB"/>
        </w:rPr>
      </w:pPr>
      <w:r w:rsidRPr="00B85E4D">
        <w:rPr>
          <w:rFonts w:cs="Times New Roman"/>
          <w:b/>
          <w:bCs/>
          <w:sz w:val="24"/>
          <w:szCs w:val="24"/>
          <w:lang w:val="en-GB"/>
        </w:rPr>
        <w:t>List of documents</w:t>
      </w:r>
    </w:p>
    <w:p w14:paraId="464EB3F9" w14:textId="75E1F3EA" w:rsidR="00437A4E" w:rsidRPr="00B85E4D" w:rsidRDefault="00437A4E" w:rsidP="00437A4E">
      <w:pPr>
        <w:tabs>
          <w:tab w:val="left" w:pos="518"/>
        </w:tabs>
        <w:spacing w:after="0"/>
        <w:jc w:val="center"/>
        <w:rPr>
          <w:rFonts w:cs="Times New Roman"/>
          <w:b/>
          <w:bCs/>
          <w:sz w:val="24"/>
          <w:szCs w:val="24"/>
          <w:lang w:val="en-GB"/>
        </w:rPr>
      </w:pPr>
      <w:r w:rsidRPr="00B85E4D">
        <w:rPr>
          <w:rFonts w:cs="Times New Roman"/>
          <w:b/>
          <w:bCs/>
          <w:sz w:val="24"/>
          <w:szCs w:val="24"/>
          <w:lang w:val="en-GB"/>
        </w:rPr>
        <w:t xml:space="preserve">to be attached to the application for prior approval </w:t>
      </w:r>
      <w:r w:rsidR="00B10F7A" w:rsidRPr="00B85E4D">
        <w:rPr>
          <w:rFonts w:cs="Times New Roman"/>
          <w:b/>
          <w:bCs/>
          <w:sz w:val="24"/>
          <w:szCs w:val="24"/>
          <w:lang w:val="en-GB"/>
        </w:rPr>
        <w:t>to</w:t>
      </w:r>
      <w:r w:rsidRPr="00B85E4D">
        <w:rPr>
          <w:rFonts w:cs="Times New Roman"/>
          <w:b/>
          <w:bCs/>
          <w:sz w:val="24"/>
          <w:szCs w:val="24"/>
          <w:lang w:val="en-GB"/>
        </w:rPr>
        <w:t xml:space="preserve"> use</w:t>
      </w:r>
    </w:p>
    <w:p w14:paraId="55A027CC" w14:textId="78573D28" w:rsidR="00437A4E" w:rsidRPr="00B85E4D" w:rsidRDefault="00437A4E" w:rsidP="00437A4E">
      <w:pPr>
        <w:tabs>
          <w:tab w:val="left" w:pos="518"/>
        </w:tabs>
        <w:spacing w:after="0"/>
        <w:jc w:val="center"/>
        <w:rPr>
          <w:rFonts w:cs="Times New Roman"/>
          <w:b/>
          <w:bCs/>
          <w:sz w:val="24"/>
          <w:szCs w:val="24"/>
          <w:lang w:val="en-GB"/>
        </w:rPr>
      </w:pPr>
      <w:r w:rsidRPr="00B85E4D">
        <w:rPr>
          <w:rFonts w:cs="Times New Roman"/>
          <w:b/>
          <w:bCs/>
          <w:sz w:val="24"/>
          <w:szCs w:val="24"/>
          <w:lang w:val="en-GB"/>
        </w:rPr>
        <w:t>exposure value calculation methods</w:t>
      </w:r>
    </w:p>
    <w:p w14:paraId="7C239BE4" w14:textId="77777777" w:rsidR="00437A4E" w:rsidRPr="00B85E4D" w:rsidRDefault="00437A4E" w:rsidP="00437A4E">
      <w:pPr>
        <w:tabs>
          <w:tab w:val="left" w:pos="518"/>
        </w:tabs>
        <w:spacing w:after="0"/>
        <w:jc w:val="both"/>
        <w:rPr>
          <w:rFonts w:cs="Times New Roman"/>
          <w:sz w:val="24"/>
          <w:szCs w:val="24"/>
          <w:lang w:val="en-GB"/>
        </w:rPr>
      </w:pPr>
    </w:p>
    <w:p w14:paraId="7D207169" w14:textId="5F40BF1B" w:rsidR="00437A4E" w:rsidRPr="00B85E4D" w:rsidRDefault="00B10F7A" w:rsidP="00437A4E">
      <w:pPr>
        <w:tabs>
          <w:tab w:val="left" w:pos="518"/>
        </w:tabs>
        <w:spacing w:after="0"/>
        <w:jc w:val="both"/>
        <w:rPr>
          <w:rFonts w:cs="Times New Roman"/>
          <w:sz w:val="24"/>
          <w:szCs w:val="24"/>
          <w:lang w:val="en-GB"/>
        </w:rPr>
      </w:pPr>
      <w:r w:rsidRPr="00B85E4D">
        <w:rPr>
          <w:rFonts w:cs="Times New Roman"/>
          <w:b/>
          <w:bCs/>
          <w:sz w:val="24"/>
          <w:szCs w:val="24"/>
          <w:lang w:val="en-GB"/>
        </w:rPr>
        <w:t>1.</w:t>
      </w:r>
      <w:r w:rsidRPr="00B85E4D">
        <w:rPr>
          <w:rFonts w:cs="Times New Roman"/>
          <w:sz w:val="24"/>
          <w:szCs w:val="24"/>
          <w:lang w:val="en-GB"/>
        </w:rPr>
        <w:t xml:space="preserve"> </w:t>
      </w:r>
      <w:r w:rsidR="00437A4E" w:rsidRPr="00B85E4D">
        <w:rPr>
          <w:rFonts w:cs="Times New Roman"/>
          <w:sz w:val="24"/>
          <w:szCs w:val="24"/>
          <w:lang w:val="en-GB"/>
        </w:rPr>
        <w:t>A document signed by the person authorised by the bank, which shall:</w:t>
      </w:r>
    </w:p>
    <w:p w14:paraId="60ABC573" w14:textId="77777777" w:rsidR="00437A4E" w:rsidRPr="00B85E4D" w:rsidRDefault="00437A4E" w:rsidP="00437A4E">
      <w:pPr>
        <w:tabs>
          <w:tab w:val="left" w:pos="518"/>
        </w:tabs>
        <w:spacing w:after="0"/>
        <w:jc w:val="both"/>
        <w:rPr>
          <w:rFonts w:cs="Times New Roman"/>
          <w:sz w:val="24"/>
          <w:szCs w:val="24"/>
          <w:lang w:val="en-GB"/>
        </w:rPr>
      </w:pPr>
      <w:r w:rsidRPr="00B85E4D">
        <w:rPr>
          <w:rFonts w:cs="Times New Roman"/>
          <w:sz w:val="24"/>
          <w:szCs w:val="24"/>
          <w:lang w:val="en-GB"/>
        </w:rPr>
        <w:t xml:space="preserve">1.1. describe the process of applying the exposure value calculation method and present the conclusions thereof, confirming the bank’s compliance with the requirements set out in paragraph 24 or 34 for the application of the selected </w:t>
      </w:r>
      <w:proofErr w:type="gramStart"/>
      <w:r w:rsidRPr="00B85E4D">
        <w:rPr>
          <w:rFonts w:cs="Times New Roman"/>
          <w:sz w:val="24"/>
          <w:szCs w:val="24"/>
          <w:lang w:val="en-GB"/>
        </w:rPr>
        <w:t>method;</w:t>
      </w:r>
      <w:proofErr w:type="gramEnd"/>
    </w:p>
    <w:p w14:paraId="38C2B3CE" w14:textId="77777777" w:rsidR="00437A4E" w:rsidRPr="00B85E4D" w:rsidRDefault="00437A4E" w:rsidP="00437A4E">
      <w:pPr>
        <w:tabs>
          <w:tab w:val="left" w:pos="518"/>
        </w:tabs>
        <w:spacing w:after="0"/>
        <w:jc w:val="both"/>
        <w:rPr>
          <w:rFonts w:cs="Times New Roman"/>
          <w:sz w:val="24"/>
          <w:szCs w:val="24"/>
          <w:lang w:val="en-GB"/>
        </w:rPr>
      </w:pPr>
      <w:r w:rsidRPr="00B85E4D">
        <w:rPr>
          <w:rFonts w:cs="Times New Roman"/>
          <w:sz w:val="24"/>
          <w:szCs w:val="24"/>
          <w:lang w:val="en-GB"/>
        </w:rPr>
        <w:t>1.2. communicate the structure of the group to which the bank belongs, the competent authorities responsible for supervising its members, as well as the calculation method applied by them – in the cases specified in paragraph 24 or 34 of this Regulation.</w:t>
      </w:r>
    </w:p>
    <w:p w14:paraId="2078B650" w14:textId="77777777" w:rsidR="00437A4E" w:rsidRPr="00B85E4D" w:rsidRDefault="00437A4E" w:rsidP="00437A4E">
      <w:pPr>
        <w:tabs>
          <w:tab w:val="left" w:pos="518"/>
        </w:tabs>
        <w:spacing w:after="0"/>
        <w:jc w:val="both"/>
        <w:rPr>
          <w:rFonts w:cs="Times New Roman"/>
          <w:sz w:val="24"/>
          <w:szCs w:val="24"/>
          <w:lang w:val="en-GB"/>
        </w:rPr>
      </w:pPr>
    </w:p>
    <w:p w14:paraId="51F6D1AF" w14:textId="473EEAF1" w:rsidR="00437A4E" w:rsidRPr="00B85E4D" w:rsidRDefault="00B10F7A" w:rsidP="00437A4E">
      <w:pPr>
        <w:tabs>
          <w:tab w:val="left" w:pos="518"/>
        </w:tabs>
        <w:spacing w:after="0"/>
        <w:jc w:val="both"/>
        <w:rPr>
          <w:rFonts w:cs="Times New Roman"/>
          <w:sz w:val="24"/>
          <w:szCs w:val="24"/>
          <w:lang w:val="en-GB"/>
        </w:rPr>
      </w:pPr>
      <w:r w:rsidRPr="00B85E4D">
        <w:rPr>
          <w:rFonts w:cs="Times New Roman"/>
          <w:b/>
          <w:bCs/>
          <w:sz w:val="24"/>
          <w:szCs w:val="24"/>
          <w:lang w:val="en-GB"/>
        </w:rPr>
        <w:t>2.</w:t>
      </w:r>
      <w:r w:rsidRPr="00B85E4D">
        <w:rPr>
          <w:rFonts w:cs="Times New Roman"/>
          <w:sz w:val="24"/>
          <w:szCs w:val="24"/>
          <w:lang w:val="en-GB"/>
        </w:rPr>
        <w:t xml:space="preserve"> </w:t>
      </w:r>
      <w:r w:rsidR="00437A4E" w:rsidRPr="00B85E4D">
        <w:rPr>
          <w:rFonts w:cs="Times New Roman"/>
          <w:sz w:val="24"/>
          <w:szCs w:val="24"/>
          <w:lang w:val="en-GB"/>
        </w:rPr>
        <w:t>The internal audit report assessing the adequacy of the counterparty credit risk management system and the process of applying the exposure value calculation method, ensuring compliance with the requirements set out in paragraph 24 or 34.</w:t>
      </w:r>
    </w:p>
    <w:p w14:paraId="04D71060" w14:textId="77777777" w:rsidR="00437A4E" w:rsidRPr="00B85E4D" w:rsidRDefault="00437A4E" w:rsidP="00437A4E">
      <w:pPr>
        <w:tabs>
          <w:tab w:val="left" w:pos="518"/>
        </w:tabs>
        <w:spacing w:after="0"/>
        <w:jc w:val="both"/>
        <w:rPr>
          <w:rFonts w:cs="Times New Roman"/>
          <w:sz w:val="24"/>
          <w:szCs w:val="24"/>
          <w:lang w:val="en-GB"/>
        </w:rPr>
      </w:pPr>
    </w:p>
    <w:p w14:paraId="499BF8A2" w14:textId="30CC97F1" w:rsidR="00437A4E" w:rsidRPr="00B85E4D" w:rsidRDefault="00B10F7A" w:rsidP="00437A4E">
      <w:pPr>
        <w:tabs>
          <w:tab w:val="left" w:pos="518"/>
        </w:tabs>
        <w:spacing w:after="0"/>
        <w:jc w:val="both"/>
        <w:rPr>
          <w:rFonts w:cs="Times New Roman"/>
          <w:sz w:val="24"/>
          <w:szCs w:val="24"/>
          <w:lang w:val="en-GB"/>
        </w:rPr>
      </w:pPr>
      <w:r w:rsidRPr="00B85E4D">
        <w:rPr>
          <w:rFonts w:cs="Times New Roman"/>
          <w:b/>
          <w:bCs/>
          <w:sz w:val="24"/>
          <w:szCs w:val="24"/>
          <w:lang w:val="en-GB"/>
        </w:rPr>
        <w:t>3.</w:t>
      </w:r>
      <w:r w:rsidRPr="00B85E4D">
        <w:rPr>
          <w:rFonts w:cs="Times New Roman"/>
          <w:sz w:val="24"/>
          <w:szCs w:val="24"/>
          <w:lang w:val="en-GB"/>
        </w:rPr>
        <w:t xml:space="preserve"> </w:t>
      </w:r>
      <w:r w:rsidR="00437A4E" w:rsidRPr="00B85E4D">
        <w:rPr>
          <w:rFonts w:cs="Times New Roman"/>
          <w:sz w:val="24"/>
          <w:szCs w:val="24"/>
          <w:lang w:val="en-GB"/>
        </w:rPr>
        <w:t>Documents establishing the procedures designed to ensure compliance with the provisions of Chapters III–V.</w:t>
      </w:r>
    </w:p>
    <w:p w14:paraId="7F9E3CCF" w14:textId="77777777" w:rsidR="00437A4E" w:rsidRPr="00B85E4D" w:rsidRDefault="00437A4E" w:rsidP="00437A4E">
      <w:pPr>
        <w:tabs>
          <w:tab w:val="left" w:pos="518"/>
        </w:tabs>
        <w:spacing w:after="0"/>
        <w:jc w:val="both"/>
        <w:rPr>
          <w:rFonts w:cs="Times New Roman"/>
          <w:sz w:val="24"/>
          <w:szCs w:val="24"/>
          <w:lang w:val="en-GB"/>
        </w:rPr>
      </w:pPr>
    </w:p>
    <w:p w14:paraId="519D0E7A" w14:textId="71A77247" w:rsidR="00437A4E" w:rsidRPr="00B85E4D" w:rsidRDefault="00B10F7A" w:rsidP="00437A4E">
      <w:pPr>
        <w:tabs>
          <w:tab w:val="left" w:pos="518"/>
        </w:tabs>
        <w:spacing w:after="0"/>
        <w:jc w:val="both"/>
        <w:rPr>
          <w:rFonts w:cs="Times New Roman"/>
          <w:sz w:val="24"/>
          <w:szCs w:val="24"/>
          <w:lang w:val="en-GB"/>
        </w:rPr>
      </w:pPr>
      <w:r w:rsidRPr="00B85E4D">
        <w:rPr>
          <w:rFonts w:cs="Times New Roman"/>
          <w:b/>
          <w:bCs/>
          <w:sz w:val="24"/>
          <w:szCs w:val="24"/>
          <w:lang w:val="en-GB"/>
        </w:rPr>
        <w:t>4.</w:t>
      </w:r>
      <w:r w:rsidRPr="00B85E4D">
        <w:rPr>
          <w:rFonts w:cs="Times New Roman"/>
          <w:sz w:val="24"/>
          <w:szCs w:val="24"/>
          <w:lang w:val="en-GB"/>
        </w:rPr>
        <w:t xml:space="preserve"> </w:t>
      </w:r>
      <w:r w:rsidR="00437A4E" w:rsidRPr="00B85E4D">
        <w:rPr>
          <w:rFonts w:cs="Times New Roman"/>
          <w:sz w:val="24"/>
          <w:szCs w:val="24"/>
          <w:lang w:val="en-GB"/>
        </w:rPr>
        <w:t xml:space="preserve">Form C 34.00 </w:t>
      </w:r>
      <w:r w:rsidR="00401023" w:rsidRPr="00B85E4D">
        <w:rPr>
          <w:rFonts w:cs="Times New Roman"/>
          <w:sz w:val="24"/>
          <w:szCs w:val="24"/>
          <w:lang w:val="en-GB"/>
        </w:rPr>
        <w:t xml:space="preserve">- </w:t>
      </w:r>
      <w:r w:rsidR="00401023" w:rsidRPr="00B85E4D">
        <w:rPr>
          <w:sz w:val="24"/>
          <w:szCs w:val="24"/>
          <w:lang w:val="en-GB"/>
        </w:rPr>
        <w:t xml:space="preserve">Counterparty Credit Risk, in accordance with the Instruction </w:t>
      </w:r>
      <w:r w:rsidR="00B85E4D" w:rsidRPr="00B85E4D">
        <w:rPr>
          <w:sz w:val="24"/>
          <w:szCs w:val="24"/>
          <w:lang w:val="en-GB"/>
        </w:rPr>
        <w:t>for banks on</w:t>
      </w:r>
      <w:r w:rsidR="00401023" w:rsidRPr="00B85E4D">
        <w:rPr>
          <w:sz w:val="24"/>
          <w:szCs w:val="24"/>
          <w:lang w:val="en-GB"/>
        </w:rPr>
        <w:t xml:space="preserve"> COREP reporting, accompanied by an explanation of how the relevant business line indicators are determined.</w:t>
      </w:r>
    </w:p>
    <w:sectPr w:rsidR="00437A4E" w:rsidRPr="00B85E4D" w:rsidSect="00693905">
      <w:footerReference w:type="default" r:id="rId4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E795" w14:textId="77777777" w:rsidR="00372F4E" w:rsidRDefault="00372F4E" w:rsidP="002E183C">
      <w:pPr>
        <w:spacing w:after="0"/>
      </w:pPr>
      <w:r>
        <w:separator/>
      </w:r>
    </w:p>
  </w:endnote>
  <w:endnote w:type="continuationSeparator" w:id="0">
    <w:p w14:paraId="676206A5" w14:textId="77777777" w:rsidR="00372F4E" w:rsidRDefault="00372F4E" w:rsidP="002E1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764575"/>
      <w:docPartObj>
        <w:docPartGallery w:val="Page Numbers (Bottom of Page)"/>
        <w:docPartUnique/>
      </w:docPartObj>
    </w:sdtPr>
    <w:sdtEndPr>
      <w:rPr>
        <w:noProof/>
        <w:sz w:val="24"/>
        <w:szCs w:val="24"/>
      </w:rPr>
    </w:sdtEndPr>
    <w:sdtContent>
      <w:p w14:paraId="69FC8329" w14:textId="3DFF57FE" w:rsidR="00CA0F6F" w:rsidRPr="00CA0F6F" w:rsidRDefault="00CA0F6F">
        <w:pPr>
          <w:pStyle w:val="Footer"/>
          <w:jc w:val="right"/>
          <w:rPr>
            <w:sz w:val="24"/>
            <w:szCs w:val="24"/>
          </w:rPr>
        </w:pPr>
        <w:r w:rsidRPr="00CA0F6F">
          <w:rPr>
            <w:sz w:val="24"/>
            <w:szCs w:val="24"/>
          </w:rPr>
          <w:fldChar w:fldCharType="begin"/>
        </w:r>
        <w:r w:rsidRPr="00CA0F6F">
          <w:rPr>
            <w:sz w:val="24"/>
            <w:szCs w:val="24"/>
          </w:rPr>
          <w:instrText xml:space="preserve"> PAGE   \* MERGEFORMAT </w:instrText>
        </w:r>
        <w:r w:rsidRPr="00CA0F6F">
          <w:rPr>
            <w:sz w:val="24"/>
            <w:szCs w:val="24"/>
          </w:rPr>
          <w:fldChar w:fldCharType="separate"/>
        </w:r>
        <w:r w:rsidRPr="00CA0F6F">
          <w:rPr>
            <w:noProof/>
            <w:sz w:val="24"/>
            <w:szCs w:val="24"/>
          </w:rPr>
          <w:t>2</w:t>
        </w:r>
        <w:r w:rsidRPr="00CA0F6F">
          <w:rPr>
            <w:noProof/>
            <w:sz w:val="24"/>
            <w:szCs w:val="24"/>
          </w:rPr>
          <w:fldChar w:fldCharType="end"/>
        </w:r>
      </w:p>
    </w:sdtContent>
  </w:sdt>
  <w:p w14:paraId="3D8D48D0" w14:textId="77777777" w:rsidR="00CA0F6F" w:rsidRDefault="00CA0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85F2" w14:textId="77777777" w:rsidR="00372F4E" w:rsidRDefault="00372F4E" w:rsidP="002E183C">
      <w:pPr>
        <w:spacing w:after="0"/>
      </w:pPr>
      <w:r>
        <w:separator/>
      </w:r>
    </w:p>
  </w:footnote>
  <w:footnote w:type="continuationSeparator" w:id="0">
    <w:p w14:paraId="4035B4B5" w14:textId="77777777" w:rsidR="00372F4E" w:rsidRDefault="00372F4E" w:rsidP="002E1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00AE"/>
    <w:multiLevelType w:val="hybridMultilevel"/>
    <w:tmpl w:val="7BF4B6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07F5D4C"/>
    <w:multiLevelType w:val="hybridMultilevel"/>
    <w:tmpl w:val="13064E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80C700C"/>
    <w:multiLevelType w:val="multilevel"/>
    <w:tmpl w:val="BAAA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100042">
    <w:abstractNumId w:val="1"/>
  </w:num>
  <w:num w:numId="2" w16cid:durableId="127362900">
    <w:abstractNumId w:val="0"/>
  </w:num>
  <w:num w:numId="3" w16cid:durableId="422647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0A"/>
    <w:rsid w:val="00022778"/>
    <w:rsid w:val="00022E7F"/>
    <w:rsid w:val="0006117A"/>
    <w:rsid w:val="00090DBD"/>
    <w:rsid w:val="000F45E3"/>
    <w:rsid w:val="00104A82"/>
    <w:rsid w:val="00121CEB"/>
    <w:rsid w:val="00144131"/>
    <w:rsid w:val="00152219"/>
    <w:rsid w:val="0016198E"/>
    <w:rsid w:val="0016795A"/>
    <w:rsid w:val="001B218D"/>
    <w:rsid w:val="001C6DBF"/>
    <w:rsid w:val="00214722"/>
    <w:rsid w:val="002A0EA4"/>
    <w:rsid w:val="002A1FCB"/>
    <w:rsid w:val="002B1318"/>
    <w:rsid w:val="002E183C"/>
    <w:rsid w:val="002F2B6A"/>
    <w:rsid w:val="002F37E8"/>
    <w:rsid w:val="00334BCC"/>
    <w:rsid w:val="0036658F"/>
    <w:rsid w:val="00372F4E"/>
    <w:rsid w:val="003866E7"/>
    <w:rsid w:val="003A4B74"/>
    <w:rsid w:val="003C5953"/>
    <w:rsid w:val="003E4DB9"/>
    <w:rsid w:val="00401023"/>
    <w:rsid w:val="00415B37"/>
    <w:rsid w:val="00437A4E"/>
    <w:rsid w:val="00452B3D"/>
    <w:rsid w:val="0046005D"/>
    <w:rsid w:val="00484D83"/>
    <w:rsid w:val="004A01C4"/>
    <w:rsid w:val="004B7FF1"/>
    <w:rsid w:val="004C522D"/>
    <w:rsid w:val="00503D92"/>
    <w:rsid w:val="005458B6"/>
    <w:rsid w:val="00560D5A"/>
    <w:rsid w:val="00564B85"/>
    <w:rsid w:val="005733A5"/>
    <w:rsid w:val="005B5342"/>
    <w:rsid w:val="005E5D7F"/>
    <w:rsid w:val="00612D31"/>
    <w:rsid w:val="00635C93"/>
    <w:rsid w:val="00642537"/>
    <w:rsid w:val="00684318"/>
    <w:rsid w:val="00685BF5"/>
    <w:rsid w:val="00693905"/>
    <w:rsid w:val="006C0B77"/>
    <w:rsid w:val="006C5FCB"/>
    <w:rsid w:val="006D3839"/>
    <w:rsid w:val="006E0789"/>
    <w:rsid w:val="00745399"/>
    <w:rsid w:val="0075633A"/>
    <w:rsid w:val="00757644"/>
    <w:rsid w:val="007F615F"/>
    <w:rsid w:val="007F7540"/>
    <w:rsid w:val="008242FF"/>
    <w:rsid w:val="00827505"/>
    <w:rsid w:val="00841993"/>
    <w:rsid w:val="00865CE4"/>
    <w:rsid w:val="00870751"/>
    <w:rsid w:val="0087126B"/>
    <w:rsid w:val="00897206"/>
    <w:rsid w:val="008A4968"/>
    <w:rsid w:val="008E4DBE"/>
    <w:rsid w:val="009062F0"/>
    <w:rsid w:val="00907CA1"/>
    <w:rsid w:val="00922C48"/>
    <w:rsid w:val="0095298D"/>
    <w:rsid w:val="0096099F"/>
    <w:rsid w:val="00963ADA"/>
    <w:rsid w:val="009779FA"/>
    <w:rsid w:val="00982AF5"/>
    <w:rsid w:val="009B3E1D"/>
    <w:rsid w:val="009B5A0A"/>
    <w:rsid w:val="009E42BA"/>
    <w:rsid w:val="00A0628A"/>
    <w:rsid w:val="00A67DA1"/>
    <w:rsid w:val="00A832FF"/>
    <w:rsid w:val="00AD1617"/>
    <w:rsid w:val="00AD617F"/>
    <w:rsid w:val="00AF2282"/>
    <w:rsid w:val="00B03E0C"/>
    <w:rsid w:val="00B05F20"/>
    <w:rsid w:val="00B101C8"/>
    <w:rsid w:val="00B10F7A"/>
    <w:rsid w:val="00B578C7"/>
    <w:rsid w:val="00B80E91"/>
    <w:rsid w:val="00B85E4D"/>
    <w:rsid w:val="00B903DA"/>
    <w:rsid w:val="00B915B7"/>
    <w:rsid w:val="00B944C2"/>
    <w:rsid w:val="00BA5A41"/>
    <w:rsid w:val="00BC54EC"/>
    <w:rsid w:val="00C07114"/>
    <w:rsid w:val="00C65494"/>
    <w:rsid w:val="00C65F2D"/>
    <w:rsid w:val="00CA0F6F"/>
    <w:rsid w:val="00CD2FE8"/>
    <w:rsid w:val="00CE128B"/>
    <w:rsid w:val="00CF2AFF"/>
    <w:rsid w:val="00D0496E"/>
    <w:rsid w:val="00D34ED1"/>
    <w:rsid w:val="00D72DC8"/>
    <w:rsid w:val="00D95028"/>
    <w:rsid w:val="00DA404B"/>
    <w:rsid w:val="00DF4A67"/>
    <w:rsid w:val="00E00109"/>
    <w:rsid w:val="00EA4392"/>
    <w:rsid w:val="00EA59DF"/>
    <w:rsid w:val="00EC7F70"/>
    <w:rsid w:val="00EE4070"/>
    <w:rsid w:val="00F12C76"/>
    <w:rsid w:val="00F4223D"/>
    <w:rsid w:val="00F669E1"/>
    <w:rsid w:val="00F72F59"/>
    <w:rsid w:val="00FF4BB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40B9"/>
  <w15:chartTrackingRefBased/>
  <w15:docId w15:val="{F635E801-967C-48C7-84EC-74BE8697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9B5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5A0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9B5A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5A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B5A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5A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5A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5A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A0A"/>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B5A0A"/>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9B5A0A"/>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9B5A0A"/>
    <w:rPr>
      <w:rFonts w:eastAsiaTheme="majorEastAsia" w:cstheme="majorBidi"/>
      <w:i/>
      <w:iCs/>
      <w:color w:val="2F5496" w:themeColor="accent1" w:themeShade="BF"/>
      <w:kern w:val="0"/>
      <w:sz w:val="28"/>
      <w14:ligatures w14:val="none"/>
    </w:rPr>
  </w:style>
  <w:style w:type="character" w:customStyle="1" w:styleId="Heading5Char">
    <w:name w:val="Heading 5 Char"/>
    <w:basedOn w:val="DefaultParagraphFont"/>
    <w:link w:val="Heading5"/>
    <w:uiPriority w:val="9"/>
    <w:semiHidden/>
    <w:rsid w:val="009B5A0A"/>
    <w:rPr>
      <w:rFonts w:eastAsiaTheme="majorEastAsia" w:cstheme="majorBidi"/>
      <w:color w:val="2F5496" w:themeColor="accent1" w:themeShade="BF"/>
      <w:kern w:val="0"/>
      <w:sz w:val="28"/>
      <w14:ligatures w14:val="none"/>
    </w:rPr>
  </w:style>
  <w:style w:type="character" w:customStyle="1" w:styleId="Heading6Char">
    <w:name w:val="Heading 6 Char"/>
    <w:basedOn w:val="DefaultParagraphFont"/>
    <w:link w:val="Heading6"/>
    <w:uiPriority w:val="9"/>
    <w:semiHidden/>
    <w:rsid w:val="009B5A0A"/>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9B5A0A"/>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9B5A0A"/>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9B5A0A"/>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9B5A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A0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5A0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B5A0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B5A0A"/>
    <w:pPr>
      <w:spacing w:before="160"/>
      <w:jc w:val="center"/>
    </w:pPr>
    <w:rPr>
      <w:i/>
      <w:iCs/>
      <w:color w:val="404040" w:themeColor="text1" w:themeTint="BF"/>
    </w:rPr>
  </w:style>
  <w:style w:type="character" w:customStyle="1" w:styleId="QuoteChar">
    <w:name w:val="Quote Char"/>
    <w:basedOn w:val="DefaultParagraphFont"/>
    <w:link w:val="Quote"/>
    <w:uiPriority w:val="29"/>
    <w:rsid w:val="009B5A0A"/>
    <w:rPr>
      <w:rFonts w:ascii="Times New Roman" w:hAnsi="Times New Roman"/>
      <w:i/>
      <w:iCs/>
      <w:color w:val="404040" w:themeColor="text1" w:themeTint="BF"/>
      <w:kern w:val="0"/>
      <w:sz w:val="28"/>
      <w14:ligatures w14:val="none"/>
    </w:rPr>
  </w:style>
  <w:style w:type="paragraph" w:styleId="ListParagraph">
    <w:name w:val="List Paragraph"/>
    <w:basedOn w:val="Normal"/>
    <w:uiPriority w:val="34"/>
    <w:qFormat/>
    <w:rsid w:val="009B5A0A"/>
    <w:pPr>
      <w:ind w:left="720"/>
      <w:contextualSpacing/>
    </w:pPr>
  </w:style>
  <w:style w:type="character" w:styleId="IntenseEmphasis">
    <w:name w:val="Intense Emphasis"/>
    <w:basedOn w:val="DefaultParagraphFont"/>
    <w:uiPriority w:val="21"/>
    <w:qFormat/>
    <w:rsid w:val="009B5A0A"/>
    <w:rPr>
      <w:i/>
      <w:iCs/>
      <w:color w:val="2F5496" w:themeColor="accent1" w:themeShade="BF"/>
    </w:rPr>
  </w:style>
  <w:style w:type="paragraph" w:styleId="IntenseQuote">
    <w:name w:val="Intense Quote"/>
    <w:basedOn w:val="Normal"/>
    <w:next w:val="Normal"/>
    <w:link w:val="IntenseQuoteChar"/>
    <w:uiPriority w:val="30"/>
    <w:qFormat/>
    <w:rsid w:val="009B5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A0A"/>
    <w:rPr>
      <w:rFonts w:ascii="Times New Roman" w:hAnsi="Times New Roman"/>
      <w:i/>
      <w:iCs/>
      <w:color w:val="2F5496" w:themeColor="accent1" w:themeShade="BF"/>
      <w:kern w:val="0"/>
      <w:sz w:val="28"/>
      <w14:ligatures w14:val="none"/>
    </w:rPr>
  </w:style>
  <w:style w:type="character" w:styleId="IntenseReference">
    <w:name w:val="Intense Reference"/>
    <w:basedOn w:val="DefaultParagraphFont"/>
    <w:uiPriority w:val="32"/>
    <w:qFormat/>
    <w:rsid w:val="009B5A0A"/>
    <w:rPr>
      <w:b/>
      <w:bCs/>
      <w:smallCaps/>
      <w:color w:val="2F5496" w:themeColor="accent1" w:themeShade="BF"/>
      <w:spacing w:val="5"/>
    </w:rPr>
  </w:style>
  <w:style w:type="paragraph" w:styleId="NormalWeb">
    <w:name w:val="Normal (Web)"/>
    <w:basedOn w:val="Normal"/>
    <w:uiPriority w:val="99"/>
    <w:semiHidden/>
    <w:unhideWhenUsed/>
    <w:rsid w:val="001C6DBF"/>
    <w:rPr>
      <w:rFonts w:cs="Times New Roman"/>
      <w:sz w:val="24"/>
      <w:szCs w:val="24"/>
    </w:rPr>
  </w:style>
  <w:style w:type="character" w:styleId="Emphasis">
    <w:name w:val="Emphasis"/>
    <w:basedOn w:val="DefaultParagraphFont"/>
    <w:uiPriority w:val="20"/>
    <w:qFormat/>
    <w:rsid w:val="00B80E91"/>
    <w:rPr>
      <w:i/>
      <w:iCs/>
    </w:rPr>
  </w:style>
  <w:style w:type="character" w:styleId="Strong">
    <w:name w:val="Strong"/>
    <w:basedOn w:val="DefaultParagraphFont"/>
    <w:uiPriority w:val="22"/>
    <w:qFormat/>
    <w:rsid w:val="009E42BA"/>
    <w:rPr>
      <w:b/>
      <w:bCs/>
    </w:rPr>
  </w:style>
  <w:style w:type="paragraph" w:styleId="Header">
    <w:name w:val="header"/>
    <w:basedOn w:val="Normal"/>
    <w:link w:val="HeaderChar"/>
    <w:uiPriority w:val="99"/>
    <w:unhideWhenUsed/>
    <w:rsid w:val="002E183C"/>
    <w:pPr>
      <w:tabs>
        <w:tab w:val="center" w:pos="4677"/>
        <w:tab w:val="right" w:pos="9355"/>
      </w:tabs>
      <w:spacing w:after="0"/>
    </w:pPr>
  </w:style>
  <w:style w:type="character" w:customStyle="1" w:styleId="HeaderChar">
    <w:name w:val="Header Char"/>
    <w:basedOn w:val="DefaultParagraphFont"/>
    <w:link w:val="Header"/>
    <w:uiPriority w:val="99"/>
    <w:rsid w:val="002E183C"/>
    <w:rPr>
      <w:rFonts w:ascii="Times New Roman" w:hAnsi="Times New Roman"/>
      <w:kern w:val="0"/>
      <w:sz w:val="28"/>
      <w14:ligatures w14:val="none"/>
    </w:rPr>
  </w:style>
  <w:style w:type="paragraph" w:styleId="Footer">
    <w:name w:val="footer"/>
    <w:basedOn w:val="Normal"/>
    <w:link w:val="FooterChar"/>
    <w:uiPriority w:val="99"/>
    <w:unhideWhenUsed/>
    <w:rsid w:val="002E183C"/>
    <w:pPr>
      <w:tabs>
        <w:tab w:val="center" w:pos="4677"/>
        <w:tab w:val="right" w:pos="9355"/>
      </w:tabs>
      <w:spacing w:after="0"/>
    </w:pPr>
  </w:style>
  <w:style w:type="character" w:customStyle="1" w:styleId="FooterChar">
    <w:name w:val="Footer Char"/>
    <w:basedOn w:val="DefaultParagraphFont"/>
    <w:link w:val="Footer"/>
    <w:uiPriority w:val="99"/>
    <w:rsid w:val="002E183C"/>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gif" Type="http://schemas.openxmlformats.org/officeDocument/2006/relationships/image"/><Relationship Id="rId11" Target="media/image4.png" Type="http://schemas.openxmlformats.org/officeDocument/2006/relationships/image"/><Relationship Id="rId12" Target="media/image5.gif" Type="http://schemas.openxmlformats.org/officeDocument/2006/relationships/image"/><Relationship Id="rId13" Target="media/image6.gif"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gif" Type="http://schemas.openxmlformats.org/officeDocument/2006/relationships/image"/><Relationship Id="rId2" Target="numbering.xml" Type="http://schemas.openxmlformats.org/officeDocument/2006/relationships/numbering"/><Relationship Id="rId20" Target="media/image13.gif" Type="http://schemas.openxmlformats.org/officeDocument/2006/relationships/image"/><Relationship Id="rId21" Target="media/image14.gif" Type="http://schemas.openxmlformats.org/officeDocument/2006/relationships/image"/><Relationship Id="rId22" Target="media/image15.gif" Type="http://schemas.openxmlformats.org/officeDocument/2006/relationships/image"/><Relationship Id="rId23" Target="media/image16.gif" Type="http://schemas.openxmlformats.org/officeDocument/2006/relationships/image"/><Relationship Id="rId24" Target="media/image17.gif" Type="http://schemas.openxmlformats.org/officeDocument/2006/relationships/image"/><Relationship Id="rId25" Target="media/image18.png" Type="http://schemas.openxmlformats.org/officeDocument/2006/relationships/image"/><Relationship Id="rId26" Target="media/image19.gif" Type="http://schemas.openxmlformats.org/officeDocument/2006/relationships/image"/><Relationship Id="rId27" Target="media/image20.gif"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xml" Type="http://schemas.openxmlformats.org/officeDocument/2006/relationships/styles"/><Relationship Id="rId30" Target="media/image23.png" Type="http://schemas.openxmlformats.org/officeDocument/2006/relationships/image"/><Relationship Id="rId31" Target="media/image24.png"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png" Type="http://schemas.openxmlformats.org/officeDocument/2006/relationships/image"/><Relationship Id="rId35" Target="media/image28.png" Type="http://schemas.openxmlformats.org/officeDocument/2006/relationships/image"/><Relationship Id="rId36" Target="media/image29.png" Type="http://schemas.openxmlformats.org/officeDocument/2006/relationships/image"/><Relationship Id="rId37" Target="media/image30.png" Type="http://schemas.openxmlformats.org/officeDocument/2006/relationships/image"/><Relationship Id="rId38" Target="media/image31.png" Type="http://schemas.openxmlformats.org/officeDocument/2006/relationships/image"/><Relationship Id="rId39" Target="media/image32.png" Type="http://schemas.openxmlformats.org/officeDocument/2006/relationships/image"/><Relationship Id="rId4" Target="settings.xml" Type="http://schemas.openxmlformats.org/officeDocument/2006/relationships/settings"/><Relationship Id="rId40" Target="media/image33.png" Type="http://schemas.openxmlformats.org/officeDocument/2006/relationships/image"/><Relationship Id="rId41" Target="media/image34.gif" Type="http://schemas.openxmlformats.org/officeDocument/2006/relationships/image"/><Relationship Id="rId42" Target="media/image35.png" Type="http://schemas.openxmlformats.org/officeDocument/2006/relationships/image"/><Relationship Id="rId43" Target="media/image36.gif" Type="http://schemas.openxmlformats.org/officeDocument/2006/relationships/image"/><Relationship Id="rId44" Target="media/image37.png" Type="http://schemas.openxmlformats.org/officeDocument/2006/relationships/image"/><Relationship Id="rId45" Target="media/image38.png" Type="http://schemas.openxmlformats.org/officeDocument/2006/relationships/image"/><Relationship Id="rId46" Target="media/image39.png" Type="http://schemas.openxmlformats.org/officeDocument/2006/relationships/image"/><Relationship Id="rId47" Target="media/image40.gif" Type="http://schemas.openxmlformats.org/officeDocument/2006/relationships/image"/><Relationship Id="rId48" Target="footer1.xml" Type="http://schemas.openxmlformats.org/officeDocument/2006/relationships/footer"/><Relationship Id="rId49" Target="fontTable.xml" Type="http://schemas.openxmlformats.org/officeDocument/2006/relationships/fontTable"/><Relationship Id="rId5" Target="webSettings.xml" Type="http://schemas.openxmlformats.org/officeDocument/2006/relationships/webSettings"/><Relationship Id="rId50"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EB67-513E-47B8-B41C-1C859107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15467</Words>
  <Characters>89710</Characters>
  <Application>Microsoft Office Word</Application>
  <DocSecurity>0</DocSecurity>
  <Lines>747</Lines>
  <Paragraphs>209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2025-12-23T12:00:00Z</dcterms:created>
  <dcterms:modified xsi:type="dcterms:W3CDTF">2025-12-23T12:00:00Z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2025-12-22T14:10:31Z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dab8352c-4457-4028-a777-2fb77021c943</vt:lpwstr>
  </property>
  <property fmtid="{D5CDD505-2E9C-101B-9397-08002B2CF9AE}" pid="8" name="MSIP_Label_38962dcf-d39f-4edc-a396-338a56ba9170_ContentBits">
    <vt:lpwstr>0</vt:lpwstr>
  </property>
</Properties>
</file>